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AA511" w14:textId="1AC01216" w:rsidR="00DF1B9C" w:rsidRPr="00470670" w:rsidRDefault="00D73047">
      <w:pPr>
        <w:rPr>
          <w:rFonts w:ascii="Abadi" w:hAnsi="Abadi"/>
        </w:rPr>
      </w:pPr>
      <w:bookmarkStart w:id="0" w:name="_Hlk13581871"/>
      <w:bookmarkEnd w:id="0"/>
      <w:r>
        <w:rPr>
          <w:rFonts w:ascii="Arial" w:hAnsi="Arial" w:cs="Arial"/>
          <w:noProof/>
        </w:rPr>
        <w:drawing>
          <wp:anchor distT="0" distB="0" distL="114300" distR="114300" simplePos="0" relativeHeight="251659264" behindDoc="1" locked="0" layoutInCell="1" allowOverlap="1" wp14:anchorId="4C23161D" wp14:editId="36937997">
            <wp:simplePos x="0" y="0"/>
            <wp:positionH relativeFrom="margin">
              <wp:posOffset>2546350</wp:posOffset>
            </wp:positionH>
            <wp:positionV relativeFrom="paragraph">
              <wp:posOffset>-304800</wp:posOffset>
            </wp:positionV>
            <wp:extent cx="3701415" cy="2400300"/>
            <wp:effectExtent l="0" t="0" r="0" b="0"/>
            <wp:wrapNone/>
            <wp:docPr id="2" name="Picture 2"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B-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1415" cy="2400300"/>
                    </a:xfrm>
                    <a:prstGeom prst="rect">
                      <a:avLst/>
                    </a:prstGeom>
                  </pic:spPr>
                </pic:pic>
              </a:graphicData>
            </a:graphic>
            <wp14:sizeRelH relativeFrom="margin">
              <wp14:pctWidth>0</wp14:pctWidth>
            </wp14:sizeRelH>
            <wp14:sizeRelV relativeFrom="margin">
              <wp14:pctHeight>0</wp14:pctHeight>
            </wp14:sizeRelV>
          </wp:anchor>
        </w:drawing>
      </w:r>
    </w:p>
    <w:p w14:paraId="63882EE2" w14:textId="70481645" w:rsidR="00470670" w:rsidRPr="00470670" w:rsidRDefault="00470670">
      <w:pPr>
        <w:rPr>
          <w:rFonts w:ascii="Abadi" w:hAnsi="Abadi"/>
        </w:rPr>
      </w:pPr>
    </w:p>
    <w:p w14:paraId="416A0DF9" w14:textId="72BE6D65" w:rsidR="00470670" w:rsidRPr="00470670" w:rsidRDefault="00470670">
      <w:pPr>
        <w:rPr>
          <w:rFonts w:ascii="Abadi" w:hAnsi="Abadi"/>
        </w:rPr>
      </w:pPr>
    </w:p>
    <w:p w14:paraId="47232689" w14:textId="5F7B4B31" w:rsidR="00470670" w:rsidRPr="00470670" w:rsidRDefault="00470670">
      <w:pPr>
        <w:rPr>
          <w:rFonts w:ascii="Abadi" w:hAnsi="Abadi"/>
        </w:rPr>
      </w:pPr>
    </w:p>
    <w:p w14:paraId="31F29781" w14:textId="77777777" w:rsidR="00D73047" w:rsidRDefault="00D73047">
      <w:pPr>
        <w:rPr>
          <w:rFonts w:ascii="Abadi" w:hAnsi="Abadi"/>
          <w:b/>
          <w:sz w:val="72"/>
        </w:rPr>
      </w:pPr>
    </w:p>
    <w:p w14:paraId="70F291A5" w14:textId="2F41AE43" w:rsidR="00470670" w:rsidRDefault="00470670" w:rsidP="00075F0F">
      <w:pPr>
        <w:pBdr>
          <w:bottom w:val="single" w:sz="4" w:space="1" w:color="auto"/>
        </w:pBdr>
        <w:jc w:val="center"/>
        <w:rPr>
          <w:rFonts w:ascii="Abadi" w:hAnsi="Abadi"/>
          <w:b/>
          <w:sz w:val="72"/>
        </w:rPr>
      </w:pPr>
      <w:r w:rsidRPr="00470670">
        <w:rPr>
          <w:rFonts w:ascii="Abadi" w:hAnsi="Abadi"/>
          <w:b/>
          <w:sz w:val="72"/>
        </w:rPr>
        <w:t>PDS for Senior Living</w:t>
      </w:r>
    </w:p>
    <w:p w14:paraId="05C71204" w14:textId="2C53978C" w:rsidR="00075F0F" w:rsidRPr="00075F0F" w:rsidRDefault="00075F0F" w:rsidP="00075F0F">
      <w:pPr>
        <w:jc w:val="center"/>
        <w:rPr>
          <w:rFonts w:ascii="Abadi" w:hAnsi="Abadi"/>
          <w:b/>
          <w:sz w:val="52"/>
          <w:szCs w:val="16"/>
        </w:rPr>
      </w:pPr>
      <w:r w:rsidRPr="00075F0F">
        <w:rPr>
          <w:rFonts w:ascii="Abadi" w:hAnsi="Abadi"/>
          <w:b/>
          <w:sz w:val="52"/>
          <w:szCs w:val="16"/>
        </w:rPr>
        <w:t>Guidelines for Buyers</w:t>
      </w:r>
    </w:p>
    <w:p w14:paraId="7DBEDDAA" w14:textId="1E0722EF" w:rsidR="00470670" w:rsidRPr="00470670" w:rsidRDefault="00470670">
      <w:pPr>
        <w:rPr>
          <w:rFonts w:ascii="Abadi" w:hAnsi="Abadi"/>
          <w:b/>
        </w:rPr>
      </w:pPr>
    </w:p>
    <w:p w14:paraId="31D06F9A" w14:textId="110C2A51" w:rsidR="00470670" w:rsidRPr="00470670" w:rsidRDefault="00470670">
      <w:pPr>
        <w:rPr>
          <w:rFonts w:ascii="Abadi" w:hAnsi="Abadi"/>
          <w:b/>
        </w:rPr>
      </w:pPr>
    </w:p>
    <w:p w14:paraId="17B901F8" w14:textId="1DE99242" w:rsidR="00470670" w:rsidRDefault="00470670">
      <w:pPr>
        <w:rPr>
          <w:rFonts w:ascii="Abadi" w:hAnsi="Abadi"/>
          <w:b/>
          <w:i/>
        </w:rPr>
      </w:pPr>
    </w:p>
    <w:p w14:paraId="249CA187" w14:textId="27ED90AF" w:rsidR="00075F0F" w:rsidRDefault="00075F0F">
      <w:pPr>
        <w:rPr>
          <w:rFonts w:ascii="Abadi" w:hAnsi="Abadi"/>
          <w:b/>
          <w:i/>
        </w:rPr>
      </w:pPr>
    </w:p>
    <w:p w14:paraId="5FD45ED7" w14:textId="77777777" w:rsidR="00075F0F" w:rsidRPr="00470670" w:rsidRDefault="00075F0F">
      <w:pPr>
        <w:rPr>
          <w:rFonts w:ascii="Abadi" w:hAnsi="Abadi"/>
          <w:b/>
          <w:i/>
        </w:rPr>
      </w:pPr>
    </w:p>
    <w:p w14:paraId="2F366C91" w14:textId="28DC875C" w:rsidR="00963CD2" w:rsidRPr="00470670" w:rsidRDefault="00963CD2">
      <w:pPr>
        <w:rPr>
          <w:rFonts w:ascii="Abadi" w:hAnsi="Abadi"/>
          <w:b/>
          <w:i/>
        </w:rPr>
      </w:pPr>
      <w:r>
        <w:rPr>
          <w:rFonts w:ascii="Abadi" w:hAnsi="Abadi"/>
          <w:b/>
          <w:i/>
        </w:rPr>
        <w:t xml:space="preserve">Issue date: </w:t>
      </w:r>
      <w:r w:rsidR="00075F0F">
        <w:rPr>
          <w:rFonts w:ascii="Abadi" w:hAnsi="Abadi"/>
          <w:b/>
          <w:i/>
        </w:rPr>
        <w:t>May 2021</w:t>
      </w:r>
    </w:p>
    <w:p w14:paraId="5359245B" w14:textId="1DD49B51" w:rsidR="00470670" w:rsidRPr="00470670" w:rsidRDefault="00470670">
      <w:pPr>
        <w:rPr>
          <w:rFonts w:ascii="Abadi" w:hAnsi="Abadi"/>
          <w:b/>
        </w:rPr>
      </w:pPr>
      <w:r w:rsidRPr="00470670">
        <w:rPr>
          <w:rFonts w:ascii="Abadi" w:hAnsi="Abadi"/>
          <w:b/>
        </w:rPr>
        <w:br w:type="page"/>
      </w:r>
    </w:p>
    <w:sdt>
      <w:sdtPr>
        <w:rPr>
          <w:caps w:val="0"/>
          <w:color w:val="auto"/>
          <w:spacing w:val="0"/>
          <w:sz w:val="20"/>
          <w:szCs w:val="20"/>
        </w:rPr>
        <w:id w:val="1394621089"/>
        <w:docPartObj>
          <w:docPartGallery w:val="Table of Contents"/>
          <w:docPartUnique/>
        </w:docPartObj>
      </w:sdtPr>
      <w:sdtEndPr>
        <w:rPr>
          <w:b/>
          <w:bCs/>
          <w:noProof/>
        </w:rPr>
      </w:sdtEndPr>
      <w:sdtContent>
        <w:p w14:paraId="71B50152" w14:textId="40A23320" w:rsidR="00495903" w:rsidRDefault="00495903">
          <w:pPr>
            <w:pStyle w:val="TOCHeading"/>
          </w:pPr>
          <w:r>
            <w:t>Contents</w:t>
          </w:r>
        </w:p>
        <w:p w14:paraId="3482618B" w14:textId="712F48E5" w:rsidR="00075F0F" w:rsidRDefault="00495903">
          <w:pPr>
            <w:pStyle w:val="TOC1"/>
            <w:tabs>
              <w:tab w:val="right" w:pos="13948"/>
            </w:tabs>
            <w:rPr>
              <w:rFonts w:asciiTheme="minorHAnsi" w:hAnsiTheme="minorHAnsi"/>
              <w:b w:val="0"/>
              <w:bCs w:val="0"/>
              <w:caps w:val="0"/>
              <w:noProof/>
              <w:sz w:val="22"/>
              <w:szCs w:val="22"/>
              <w:lang w:val="en-MU" w:eastAsia="en-MU"/>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3131437" w:history="1">
            <w:r w:rsidR="00075F0F" w:rsidRPr="001F1D8E">
              <w:rPr>
                <w:rStyle w:val="Hyperlink"/>
                <w:rFonts w:ascii="Abadi" w:hAnsi="Abadi"/>
                <w:noProof/>
              </w:rPr>
              <w:t>Preface</w:t>
            </w:r>
            <w:r w:rsidR="00075F0F">
              <w:rPr>
                <w:noProof/>
                <w:webHidden/>
              </w:rPr>
              <w:tab/>
            </w:r>
            <w:r w:rsidR="00075F0F">
              <w:rPr>
                <w:noProof/>
                <w:webHidden/>
              </w:rPr>
              <w:fldChar w:fldCharType="begin"/>
            </w:r>
            <w:r w:rsidR="00075F0F">
              <w:rPr>
                <w:noProof/>
                <w:webHidden/>
              </w:rPr>
              <w:instrText xml:space="preserve"> PAGEREF _Toc73131437 \h </w:instrText>
            </w:r>
            <w:r w:rsidR="00075F0F">
              <w:rPr>
                <w:noProof/>
                <w:webHidden/>
              </w:rPr>
            </w:r>
            <w:r w:rsidR="00075F0F">
              <w:rPr>
                <w:noProof/>
                <w:webHidden/>
              </w:rPr>
              <w:fldChar w:fldCharType="separate"/>
            </w:r>
            <w:r w:rsidR="00075F0F">
              <w:rPr>
                <w:noProof/>
                <w:webHidden/>
              </w:rPr>
              <w:t>3</w:t>
            </w:r>
            <w:r w:rsidR="00075F0F">
              <w:rPr>
                <w:noProof/>
                <w:webHidden/>
              </w:rPr>
              <w:fldChar w:fldCharType="end"/>
            </w:r>
          </w:hyperlink>
        </w:p>
        <w:p w14:paraId="08E4EEC9" w14:textId="6FAB12AA" w:rsidR="00075F0F" w:rsidRDefault="00075F0F">
          <w:pPr>
            <w:pStyle w:val="TOC1"/>
            <w:tabs>
              <w:tab w:val="right" w:pos="13948"/>
            </w:tabs>
            <w:rPr>
              <w:rFonts w:asciiTheme="minorHAnsi" w:hAnsiTheme="minorHAnsi"/>
              <w:b w:val="0"/>
              <w:bCs w:val="0"/>
              <w:caps w:val="0"/>
              <w:noProof/>
              <w:sz w:val="22"/>
              <w:szCs w:val="22"/>
              <w:lang w:val="en-MU" w:eastAsia="en-MU"/>
            </w:rPr>
          </w:pPr>
          <w:hyperlink w:anchor="_Toc73131438" w:history="1">
            <w:r w:rsidRPr="001F1D8E">
              <w:rPr>
                <w:rStyle w:val="Hyperlink"/>
                <w:rFonts w:ascii="Arial Nova Cond" w:hAnsi="Arial Nova Cond"/>
                <w:noProof/>
              </w:rPr>
              <w:t>part 1: Sale of residential units</w:t>
            </w:r>
            <w:r>
              <w:rPr>
                <w:noProof/>
                <w:webHidden/>
              </w:rPr>
              <w:tab/>
            </w:r>
            <w:r>
              <w:rPr>
                <w:noProof/>
                <w:webHidden/>
              </w:rPr>
              <w:fldChar w:fldCharType="begin"/>
            </w:r>
            <w:r>
              <w:rPr>
                <w:noProof/>
                <w:webHidden/>
              </w:rPr>
              <w:instrText xml:space="preserve"> PAGEREF _Toc73131438 \h </w:instrText>
            </w:r>
            <w:r>
              <w:rPr>
                <w:noProof/>
                <w:webHidden/>
              </w:rPr>
            </w:r>
            <w:r>
              <w:rPr>
                <w:noProof/>
                <w:webHidden/>
              </w:rPr>
              <w:fldChar w:fldCharType="separate"/>
            </w:r>
            <w:r>
              <w:rPr>
                <w:noProof/>
                <w:webHidden/>
              </w:rPr>
              <w:t>4</w:t>
            </w:r>
            <w:r>
              <w:rPr>
                <w:noProof/>
                <w:webHidden/>
              </w:rPr>
              <w:fldChar w:fldCharType="end"/>
            </w:r>
          </w:hyperlink>
        </w:p>
        <w:p w14:paraId="51A94DF7" w14:textId="0C47AF49" w:rsidR="00075F0F" w:rsidRDefault="00075F0F">
          <w:pPr>
            <w:pStyle w:val="TOC3"/>
            <w:tabs>
              <w:tab w:val="left" w:pos="800"/>
              <w:tab w:val="right" w:pos="13948"/>
            </w:tabs>
            <w:rPr>
              <w:noProof/>
              <w:sz w:val="22"/>
              <w:szCs w:val="22"/>
              <w:lang w:val="en-MU" w:eastAsia="en-MU"/>
            </w:rPr>
          </w:pPr>
          <w:hyperlink w:anchor="_Toc73131439" w:history="1">
            <w:r w:rsidRPr="001F1D8E">
              <w:rPr>
                <w:rStyle w:val="Hyperlink"/>
                <w:b/>
                <w:noProof/>
              </w:rPr>
              <w:t>1.1</w:t>
            </w:r>
            <w:r>
              <w:rPr>
                <w:noProof/>
                <w:sz w:val="22"/>
                <w:szCs w:val="22"/>
                <w:lang w:val="en-MU" w:eastAsia="en-MU"/>
              </w:rPr>
              <w:tab/>
            </w:r>
            <w:r w:rsidRPr="001F1D8E">
              <w:rPr>
                <w:rStyle w:val="Hyperlink"/>
                <w:b/>
                <w:noProof/>
              </w:rPr>
              <w:t>BASIS of sale of a residential property</w:t>
            </w:r>
            <w:r>
              <w:rPr>
                <w:noProof/>
                <w:webHidden/>
              </w:rPr>
              <w:tab/>
            </w:r>
            <w:r>
              <w:rPr>
                <w:noProof/>
                <w:webHidden/>
              </w:rPr>
              <w:fldChar w:fldCharType="begin"/>
            </w:r>
            <w:r>
              <w:rPr>
                <w:noProof/>
                <w:webHidden/>
              </w:rPr>
              <w:instrText xml:space="preserve"> PAGEREF _Toc73131439 \h </w:instrText>
            </w:r>
            <w:r>
              <w:rPr>
                <w:noProof/>
                <w:webHidden/>
              </w:rPr>
            </w:r>
            <w:r>
              <w:rPr>
                <w:noProof/>
                <w:webHidden/>
              </w:rPr>
              <w:fldChar w:fldCharType="separate"/>
            </w:r>
            <w:r>
              <w:rPr>
                <w:noProof/>
                <w:webHidden/>
              </w:rPr>
              <w:t>4</w:t>
            </w:r>
            <w:r>
              <w:rPr>
                <w:noProof/>
                <w:webHidden/>
              </w:rPr>
              <w:fldChar w:fldCharType="end"/>
            </w:r>
          </w:hyperlink>
        </w:p>
        <w:p w14:paraId="6720D85E" w14:textId="69B8A9BB" w:rsidR="00075F0F" w:rsidRDefault="00075F0F">
          <w:pPr>
            <w:pStyle w:val="TOC3"/>
            <w:tabs>
              <w:tab w:val="left" w:pos="800"/>
              <w:tab w:val="right" w:pos="13948"/>
            </w:tabs>
            <w:rPr>
              <w:noProof/>
              <w:sz w:val="22"/>
              <w:szCs w:val="22"/>
              <w:lang w:val="en-MU" w:eastAsia="en-MU"/>
            </w:rPr>
          </w:pPr>
          <w:hyperlink w:anchor="_Toc73131440" w:history="1">
            <w:r w:rsidRPr="001F1D8E">
              <w:rPr>
                <w:rStyle w:val="Hyperlink"/>
                <w:b/>
                <w:noProof/>
              </w:rPr>
              <w:t>1.2</w:t>
            </w:r>
            <w:r>
              <w:rPr>
                <w:noProof/>
                <w:sz w:val="22"/>
                <w:szCs w:val="22"/>
                <w:lang w:val="en-MU" w:eastAsia="en-MU"/>
              </w:rPr>
              <w:tab/>
            </w:r>
            <w:r w:rsidRPr="001F1D8E">
              <w:rPr>
                <w:rStyle w:val="Hyperlink"/>
                <w:b/>
                <w:noProof/>
              </w:rPr>
              <w:t>Financing of residential roperty</w:t>
            </w:r>
            <w:r>
              <w:rPr>
                <w:noProof/>
                <w:webHidden/>
              </w:rPr>
              <w:tab/>
            </w:r>
            <w:r>
              <w:rPr>
                <w:noProof/>
                <w:webHidden/>
              </w:rPr>
              <w:fldChar w:fldCharType="begin"/>
            </w:r>
            <w:r>
              <w:rPr>
                <w:noProof/>
                <w:webHidden/>
              </w:rPr>
              <w:instrText xml:space="preserve"> PAGEREF _Toc73131440 \h </w:instrText>
            </w:r>
            <w:r>
              <w:rPr>
                <w:noProof/>
                <w:webHidden/>
              </w:rPr>
            </w:r>
            <w:r>
              <w:rPr>
                <w:noProof/>
                <w:webHidden/>
              </w:rPr>
              <w:fldChar w:fldCharType="separate"/>
            </w:r>
            <w:r>
              <w:rPr>
                <w:noProof/>
                <w:webHidden/>
              </w:rPr>
              <w:t>4</w:t>
            </w:r>
            <w:r>
              <w:rPr>
                <w:noProof/>
                <w:webHidden/>
              </w:rPr>
              <w:fldChar w:fldCharType="end"/>
            </w:r>
          </w:hyperlink>
        </w:p>
        <w:p w14:paraId="72196D9B" w14:textId="4FC5245E" w:rsidR="00075F0F" w:rsidRDefault="00075F0F">
          <w:pPr>
            <w:pStyle w:val="TOC3"/>
            <w:tabs>
              <w:tab w:val="left" w:pos="800"/>
              <w:tab w:val="right" w:pos="13948"/>
            </w:tabs>
            <w:rPr>
              <w:noProof/>
              <w:sz w:val="22"/>
              <w:szCs w:val="22"/>
              <w:lang w:val="en-MU" w:eastAsia="en-MU"/>
            </w:rPr>
          </w:pPr>
          <w:hyperlink w:anchor="_Toc73131441" w:history="1">
            <w:r w:rsidRPr="001F1D8E">
              <w:rPr>
                <w:rStyle w:val="Hyperlink"/>
                <w:b/>
                <w:noProof/>
              </w:rPr>
              <w:t>1.3</w:t>
            </w:r>
            <w:r>
              <w:rPr>
                <w:noProof/>
                <w:sz w:val="22"/>
                <w:szCs w:val="22"/>
                <w:lang w:val="en-MU" w:eastAsia="en-MU"/>
              </w:rPr>
              <w:tab/>
            </w:r>
            <w:r w:rsidRPr="001F1D8E">
              <w:rPr>
                <w:rStyle w:val="Hyperlink"/>
                <w:b/>
                <w:noProof/>
              </w:rPr>
              <w:t>Application to acquire property under PDS for SeNIOR LIVING</w:t>
            </w:r>
            <w:r>
              <w:rPr>
                <w:noProof/>
                <w:webHidden/>
              </w:rPr>
              <w:tab/>
            </w:r>
            <w:r>
              <w:rPr>
                <w:noProof/>
                <w:webHidden/>
              </w:rPr>
              <w:fldChar w:fldCharType="begin"/>
            </w:r>
            <w:r>
              <w:rPr>
                <w:noProof/>
                <w:webHidden/>
              </w:rPr>
              <w:instrText xml:space="preserve"> PAGEREF _Toc73131441 \h </w:instrText>
            </w:r>
            <w:r>
              <w:rPr>
                <w:noProof/>
                <w:webHidden/>
              </w:rPr>
            </w:r>
            <w:r>
              <w:rPr>
                <w:noProof/>
                <w:webHidden/>
              </w:rPr>
              <w:fldChar w:fldCharType="separate"/>
            </w:r>
            <w:r>
              <w:rPr>
                <w:noProof/>
                <w:webHidden/>
              </w:rPr>
              <w:t>5</w:t>
            </w:r>
            <w:r>
              <w:rPr>
                <w:noProof/>
                <w:webHidden/>
              </w:rPr>
              <w:fldChar w:fldCharType="end"/>
            </w:r>
          </w:hyperlink>
        </w:p>
        <w:p w14:paraId="548EBCE2" w14:textId="07FEE6A4" w:rsidR="00075F0F" w:rsidRDefault="00075F0F">
          <w:pPr>
            <w:pStyle w:val="TOC3"/>
            <w:tabs>
              <w:tab w:val="left" w:pos="800"/>
              <w:tab w:val="right" w:pos="13948"/>
            </w:tabs>
            <w:rPr>
              <w:noProof/>
              <w:sz w:val="22"/>
              <w:szCs w:val="22"/>
              <w:lang w:val="en-MU" w:eastAsia="en-MU"/>
            </w:rPr>
          </w:pPr>
          <w:hyperlink w:anchor="_Toc73131442" w:history="1">
            <w:r w:rsidRPr="001F1D8E">
              <w:rPr>
                <w:rStyle w:val="Hyperlink"/>
                <w:b/>
                <w:noProof/>
              </w:rPr>
              <w:t>1.4</w:t>
            </w:r>
            <w:r>
              <w:rPr>
                <w:noProof/>
                <w:sz w:val="22"/>
                <w:szCs w:val="22"/>
                <w:lang w:val="en-MU" w:eastAsia="en-MU"/>
              </w:rPr>
              <w:tab/>
            </w:r>
            <w:r w:rsidRPr="001F1D8E">
              <w:rPr>
                <w:rStyle w:val="Hyperlink"/>
                <w:b/>
                <w:noProof/>
              </w:rPr>
              <w:t>SCREENING OF APPLICATION</w:t>
            </w:r>
            <w:r>
              <w:rPr>
                <w:noProof/>
                <w:webHidden/>
              </w:rPr>
              <w:tab/>
            </w:r>
            <w:r>
              <w:rPr>
                <w:noProof/>
                <w:webHidden/>
              </w:rPr>
              <w:fldChar w:fldCharType="begin"/>
            </w:r>
            <w:r>
              <w:rPr>
                <w:noProof/>
                <w:webHidden/>
              </w:rPr>
              <w:instrText xml:space="preserve"> PAGEREF _Toc73131442 \h </w:instrText>
            </w:r>
            <w:r>
              <w:rPr>
                <w:noProof/>
                <w:webHidden/>
              </w:rPr>
            </w:r>
            <w:r>
              <w:rPr>
                <w:noProof/>
                <w:webHidden/>
              </w:rPr>
              <w:fldChar w:fldCharType="separate"/>
            </w:r>
            <w:r>
              <w:rPr>
                <w:noProof/>
                <w:webHidden/>
              </w:rPr>
              <w:t>5</w:t>
            </w:r>
            <w:r>
              <w:rPr>
                <w:noProof/>
                <w:webHidden/>
              </w:rPr>
              <w:fldChar w:fldCharType="end"/>
            </w:r>
          </w:hyperlink>
        </w:p>
        <w:p w14:paraId="02F10166" w14:textId="2D77A532" w:rsidR="00075F0F" w:rsidRDefault="00075F0F">
          <w:pPr>
            <w:pStyle w:val="TOC3"/>
            <w:tabs>
              <w:tab w:val="left" w:pos="800"/>
              <w:tab w:val="right" w:pos="13948"/>
            </w:tabs>
            <w:rPr>
              <w:noProof/>
              <w:sz w:val="22"/>
              <w:szCs w:val="22"/>
              <w:lang w:val="en-MU" w:eastAsia="en-MU"/>
            </w:rPr>
          </w:pPr>
          <w:hyperlink w:anchor="_Toc73131443" w:history="1">
            <w:r w:rsidRPr="001F1D8E">
              <w:rPr>
                <w:rStyle w:val="Hyperlink"/>
                <w:b/>
                <w:noProof/>
              </w:rPr>
              <w:t>1.5</w:t>
            </w:r>
            <w:r>
              <w:rPr>
                <w:noProof/>
                <w:sz w:val="22"/>
                <w:szCs w:val="22"/>
                <w:lang w:val="en-MU" w:eastAsia="en-MU"/>
              </w:rPr>
              <w:tab/>
            </w:r>
            <w:r w:rsidRPr="001F1D8E">
              <w:rPr>
                <w:rStyle w:val="Hyperlink"/>
                <w:b/>
                <w:noProof/>
              </w:rPr>
              <w:t>Documents to be submitted at the time of application</w:t>
            </w:r>
            <w:r>
              <w:rPr>
                <w:noProof/>
                <w:webHidden/>
              </w:rPr>
              <w:tab/>
            </w:r>
            <w:r>
              <w:rPr>
                <w:noProof/>
                <w:webHidden/>
              </w:rPr>
              <w:fldChar w:fldCharType="begin"/>
            </w:r>
            <w:r>
              <w:rPr>
                <w:noProof/>
                <w:webHidden/>
              </w:rPr>
              <w:instrText xml:space="preserve"> PAGEREF _Toc73131443 \h </w:instrText>
            </w:r>
            <w:r>
              <w:rPr>
                <w:noProof/>
                <w:webHidden/>
              </w:rPr>
            </w:r>
            <w:r>
              <w:rPr>
                <w:noProof/>
                <w:webHidden/>
              </w:rPr>
              <w:fldChar w:fldCharType="separate"/>
            </w:r>
            <w:r>
              <w:rPr>
                <w:noProof/>
                <w:webHidden/>
              </w:rPr>
              <w:t>5</w:t>
            </w:r>
            <w:r>
              <w:rPr>
                <w:noProof/>
                <w:webHidden/>
              </w:rPr>
              <w:fldChar w:fldCharType="end"/>
            </w:r>
          </w:hyperlink>
        </w:p>
        <w:p w14:paraId="72CF4A9E" w14:textId="7CE283DD" w:rsidR="00075F0F" w:rsidRDefault="00075F0F">
          <w:pPr>
            <w:pStyle w:val="TOC1"/>
            <w:tabs>
              <w:tab w:val="right" w:pos="13948"/>
            </w:tabs>
            <w:rPr>
              <w:rFonts w:asciiTheme="minorHAnsi" w:hAnsiTheme="minorHAnsi"/>
              <w:b w:val="0"/>
              <w:bCs w:val="0"/>
              <w:caps w:val="0"/>
              <w:noProof/>
              <w:sz w:val="22"/>
              <w:szCs w:val="22"/>
              <w:lang w:val="en-MU" w:eastAsia="en-MU"/>
            </w:rPr>
          </w:pPr>
          <w:hyperlink w:anchor="_Toc73131444" w:history="1">
            <w:r w:rsidRPr="001F1D8E">
              <w:rPr>
                <w:rStyle w:val="Hyperlink"/>
                <w:rFonts w:ascii="Arial Nova Cond" w:hAnsi="Arial Nova Cond"/>
                <w:noProof/>
              </w:rPr>
              <w:t>part 2: rent &amp; Leases of residential unit</w:t>
            </w:r>
            <w:r>
              <w:rPr>
                <w:noProof/>
                <w:webHidden/>
              </w:rPr>
              <w:tab/>
            </w:r>
            <w:r>
              <w:rPr>
                <w:noProof/>
                <w:webHidden/>
              </w:rPr>
              <w:fldChar w:fldCharType="begin"/>
            </w:r>
            <w:r>
              <w:rPr>
                <w:noProof/>
                <w:webHidden/>
              </w:rPr>
              <w:instrText xml:space="preserve"> PAGEREF _Toc73131444 \h </w:instrText>
            </w:r>
            <w:r>
              <w:rPr>
                <w:noProof/>
                <w:webHidden/>
              </w:rPr>
            </w:r>
            <w:r>
              <w:rPr>
                <w:noProof/>
                <w:webHidden/>
              </w:rPr>
              <w:fldChar w:fldCharType="separate"/>
            </w:r>
            <w:r>
              <w:rPr>
                <w:noProof/>
                <w:webHidden/>
              </w:rPr>
              <w:t>7</w:t>
            </w:r>
            <w:r>
              <w:rPr>
                <w:noProof/>
                <w:webHidden/>
              </w:rPr>
              <w:fldChar w:fldCharType="end"/>
            </w:r>
          </w:hyperlink>
        </w:p>
        <w:p w14:paraId="156E81D2" w14:textId="3D333CEB" w:rsidR="00075F0F" w:rsidRDefault="00075F0F">
          <w:pPr>
            <w:pStyle w:val="TOC3"/>
            <w:tabs>
              <w:tab w:val="left" w:pos="800"/>
              <w:tab w:val="right" w:pos="13948"/>
            </w:tabs>
            <w:rPr>
              <w:noProof/>
              <w:sz w:val="22"/>
              <w:szCs w:val="22"/>
              <w:lang w:val="en-MU" w:eastAsia="en-MU"/>
            </w:rPr>
          </w:pPr>
          <w:hyperlink w:anchor="_Toc73131445" w:history="1">
            <w:r w:rsidRPr="001F1D8E">
              <w:rPr>
                <w:rStyle w:val="Hyperlink"/>
                <w:b/>
                <w:noProof/>
              </w:rPr>
              <w:t>2.1</w:t>
            </w:r>
            <w:r>
              <w:rPr>
                <w:noProof/>
                <w:sz w:val="22"/>
                <w:szCs w:val="22"/>
                <w:lang w:val="en-MU" w:eastAsia="en-MU"/>
              </w:rPr>
              <w:tab/>
            </w:r>
            <w:r w:rsidRPr="001F1D8E">
              <w:rPr>
                <w:rStyle w:val="Hyperlink"/>
                <w:b/>
                <w:noProof/>
              </w:rPr>
              <w:t>Rental of residential unit</w:t>
            </w:r>
            <w:r>
              <w:rPr>
                <w:noProof/>
                <w:webHidden/>
              </w:rPr>
              <w:tab/>
            </w:r>
            <w:r>
              <w:rPr>
                <w:noProof/>
                <w:webHidden/>
              </w:rPr>
              <w:fldChar w:fldCharType="begin"/>
            </w:r>
            <w:r>
              <w:rPr>
                <w:noProof/>
                <w:webHidden/>
              </w:rPr>
              <w:instrText xml:space="preserve"> PAGEREF _Toc73131445 \h </w:instrText>
            </w:r>
            <w:r>
              <w:rPr>
                <w:noProof/>
                <w:webHidden/>
              </w:rPr>
            </w:r>
            <w:r>
              <w:rPr>
                <w:noProof/>
                <w:webHidden/>
              </w:rPr>
              <w:fldChar w:fldCharType="separate"/>
            </w:r>
            <w:r>
              <w:rPr>
                <w:noProof/>
                <w:webHidden/>
              </w:rPr>
              <w:t>7</w:t>
            </w:r>
            <w:r>
              <w:rPr>
                <w:noProof/>
                <w:webHidden/>
              </w:rPr>
              <w:fldChar w:fldCharType="end"/>
            </w:r>
          </w:hyperlink>
        </w:p>
        <w:p w14:paraId="4B77076A" w14:textId="0D04FAFB" w:rsidR="00075F0F" w:rsidRDefault="00075F0F">
          <w:pPr>
            <w:pStyle w:val="TOC1"/>
            <w:tabs>
              <w:tab w:val="right" w:pos="13948"/>
            </w:tabs>
            <w:rPr>
              <w:rFonts w:asciiTheme="minorHAnsi" w:hAnsiTheme="minorHAnsi"/>
              <w:b w:val="0"/>
              <w:bCs w:val="0"/>
              <w:caps w:val="0"/>
              <w:noProof/>
              <w:sz w:val="22"/>
              <w:szCs w:val="22"/>
              <w:lang w:val="en-MU" w:eastAsia="en-MU"/>
            </w:rPr>
          </w:pPr>
          <w:hyperlink w:anchor="_Toc73131446" w:history="1">
            <w:r w:rsidRPr="001F1D8E">
              <w:rPr>
                <w:rStyle w:val="Hyperlink"/>
                <w:rFonts w:ascii="Arial Nova Cond" w:hAnsi="Arial Nova Cond"/>
                <w:noProof/>
              </w:rPr>
              <w:t>part 3: Sale of life right</w:t>
            </w:r>
            <w:r>
              <w:rPr>
                <w:noProof/>
                <w:webHidden/>
              </w:rPr>
              <w:tab/>
            </w:r>
            <w:r>
              <w:rPr>
                <w:noProof/>
                <w:webHidden/>
              </w:rPr>
              <w:fldChar w:fldCharType="begin"/>
            </w:r>
            <w:r>
              <w:rPr>
                <w:noProof/>
                <w:webHidden/>
              </w:rPr>
              <w:instrText xml:space="preserve"> PAGEREF _Toc73131446 \h </w:instrText>
            </w:r>
            <w:r>
              <w:rPr>
                <w:noProof/>
                <w:webHidden/>
              </w:rPr>
            </w:r>
            <w:r>
              <w:rPr>
                <w:noProof/>
                <w:webHidden/>
              </w:rPr>
              <w:fldChar w:fldCharType="separate"/>
            </w:r>
            <w:r>
              <w:rPr>
                <w:noProof/>
                <w:webHidden/>
              </w:rPr>
              <w:t>8</w:t>
            </w:r>
            <w:r>
              <w:rPr>
                <w:noProof/>
                <w:webHidden/>
              </w:rPr>
              <w:fldChar w:fldCharType="end"/>
            </w:r>
          </w:hyperlink>
        </w:p>
        <w:p w14:paraId="30645B34" w14:textId="7DA2D33E" w:rsidR="00075F0F" w:rsidRDefault="00075F0F">
          <w:pPr>
            <w:pStyle w:val="TOC3"/>
            <w:tabs>
              <w:tab w:val="left" w:pos="800"/>
              <w:tab w:val="right" w:pos="13948"/>
            </w:tabs>
            <w:rPr>
              <w:noProof/>
              <w:sz w:val="22"/>
              <w:szCs w:val="22"/>
              <w:lang w:val="en-MU" w:eastAsia="en-MU"/>
            </w:rPr>
          </w:pPr>
          <w:hyperlink w:anchor="_Toc73131447" w:history="1">
            <w:r w:rsidRPr="001F1D8E">
              <w:rPr>
                <w:rStyle w:val="Hyperlink"/>
                <w:b/>
                <w:noProof/>
              </w:rPr>
              <w:t>3.1</w:t>
            </w:r>
            <w:r>
              <w:rPr>
                <w:noProof/>
                <w:sz w:val="22"/>
                <w:szCs w:val="22"/>
                <w:lang w:val="en-MU" w:eastAsia="en-MU"/>
              </w:rPr>
              <w:tab/>
            </w:r>
            <w:r w:rsidRPr="001F1D8E">
              <w:rPr>
                <w:rStyle w:val="Hyperlink"/>
                <w:b/>
                <w:noProof/>
              </w:rPr>
              <w:t>Acquisition of life right</w:t>
            </w:r>
            <w:r>
              <w:rPr>
                <w:noProof/>
                <w:webHidden/>
              </w:rPr>
              <w:tab/>
            </w:r>
            <w:r>
              <w:rPr>
                <w:noProof/>
                <w:webHidden/>
              </w:rPr>
              <w:fldChar w:fldCharType="begin"/>
            </w:r>
            <w:r>
              <w:rPr>
                <w:noProof/>
                <w:webHidden/>
              </w:rPr>
              <w:instrText xml:space="preserve"> PAGEREF _Toc73131447 \h </w:instrText>
            </w:r>
            <w:r>
              <w:rPr>
                <w:noProof/>
                <w:webHidden/>
              </w:rPr>
            </w:r>
            <w:r>
              <w:rPr>
                <w:noProof/>
                <w:webHidden/>
              </w:rPr>
              <w:fldChar w:fldCharType="separate"/>
            </w:r>
            <w:r>
              <w:rPr>
                <w:noProof/>
                <w:webHidden/>
              </w:rPr>
              <w:t>8</w:t>
            </w:r>
            <w:r>
              <w:rPr>
                <w:noProof/>
                <w:webHidden/>
              </w:rPr>
              <w:fldChar w:fldCharType="end"/>
            </w:r>
          </w:hyperlink>
        </w:p>
        <w:p w14:paraId="150BB0BC" w14:textId="737CB098" w:rsidR="00075F0F" w:rsidRDefault="00075F0F">
          <w:pPr>
            <w:pStyle w:val="TOC3"/>
            <w:tabs>
              <w:tab w:val="left" w:pos="800"/>
              <w:tab w:val="right" w:pos="13948"/>
            </w:tabs>
            <w:rPr>
              <w:noProof/>
              <w:sz w:val="22"/>
              <w:szCs w:val="22"/>
              <w:lang w:val="en-MU" w:eastAsia="en-MU"/>
            </w:rPr>
          </w:pPr>
          <w:hyperlink w:anchor="_Toc73131448" w:history="1">
            <w:r w:rsidRPr="001F1D8E">
              <w:rPr>
                <w:rStyle w:val="Hyperlink"/>
                <w:b/>
                <w:noProof/>
              </w:rPr>
              <w:t>3.2</w:t>
            </w:r>
            <w:r>
              <w:rPr>
                <w:noProof/>
                <w:sz w:val="22"/>
                <w:szCs w:val="22"/>
                <w:lang w:val="en-MU" w:eastAsia="en-MU"/>
              </w:rPr>
              <w:tab/>
            </w:r>
            <w:r w:rsidRPr="001F1D8E">
              <w:rPr>
                <w:rStyle w:val="Hyperlink"/>
                <w:b/>
                <w:noProof/>
              </w:rPr>
              <w:t>Documents to be submitted for acquisition of life right</w:t>
            </w:r>
            <w:r>
              <w:rPr>
                <w:noProof/>
                <w:webHidden/>
              </w:rPr>
              <w:tab/>
            </w:r>
            <w:r>
              <w:rPr>
                <w:noProof/>
                <w:webHidden/>
              </w:rPr>
              <w:fldChar w:fldCharType="begin"/>
            </w:r>
            <w:r>
              <w:rPr>
                <w:noProof/>
                <w:webHidden/>
              </w:rPr>
              <w:instrText xml:space="preserve"> PAGEREF _Toc73131448 \h </w:instrText>
            </w:r>
            <w:r>
              <w:rPr>
                <w:noProof/>
                <w:webHidden/>
              </w:rPr>
            </w:r>
            <w:r>
              <w:rPr>
                <w:noProof/>
                <w:webHidden/>
              </w:rPr>
              <w:fldChar w:fldCharType="separate"/>
            </w:r>
            <w:r>
              <w:rPr>
                <w:noProof/>
                <w:webHidden/>
              </w:rPr>
              <w:t>8</w:t>
            </w:r>
            <w:r>
              <w:rPr>
                <w:noProof/>
                <w:webHidden/>
              </w:rPr>
              <w:fldChar w:fldCharType="end"/>
            </w:r>
          </w:hyperlink>
        </w:p>
        <w:p w14:paraId="7C87E3C6" w14:textId="4B54A40C" w:rsidR="00075F0F" w:rsidRDefault="00075F0F">
          <w:pPr>
            <w:pStyle w:val="TOC3"/>
            <w:tabs>
              <w:tab w:val="left" w:pos="800"/>
              <w:tab w:val="right" w:pos="13948"/>
            </w:tabs>
            <w:rPr>
              <w:noProof/>
              <w:sz w:val="22"/>
              <w:szCs w:val="22"/>
              <w:lang w:val="en-MU" w:eastAsia="en-MU"/>
            </w:rPr>
          </w:pPr>
          <w:hyperlink w:anchor="_Toc73131449" w:history="1">
            <w:r w:rsidRPr="001F1D8E">
              <w:rPr>
                <w:rStyle w:val="Hyperlink"/>
                <w:b/>
                <w:noProof/>
              </w:rPr>
              <w:t>3.3</w:t>
            </w:r>
            <w:r>
              <w:rPr>
                <w:noProof/>
                <w:sz w:val="22"/>
                <w:szCs w:val="22"/>
                <w:lang w:val="en-MU" w:eastAsia="en-MU"/>
              </w:rPr>
              <w:tab/>
            </w:r>
            <w:r w:rsidRPr="001F1D8E">
              <w:rPr>
                <w:rStyle w:val="Hyperlink"/>
                <w:b/>
                <w:noProof/>
              </w:rPr>
              <w:t>Termination of life right</w:t>
            </w:r>
            <w:r>
              <w:rPr>
                <w:noProof/>
                <w:webHidden/>
              </w:rPr>
              <w:tab/>
            </w:r>
            <w:r>
              <w:rPr>
                <w:noProof/>
                <w:webHidden/>
              </w:rPr>
              <w:fldChar w:fldCharType="begin"/>
            </w:r>
            <w:r>
              <w:rPr>
                <w:noProof/>
                <w:webHidden/>
              </w:rPr>
              <w:instrText xml:space="preserve"> PAGEREF _Toc73131449 \h </w:instrText>
            </w:r>
            <w:r>
              <w:rPr>
                <w:noProof/>
                <w:webHidden/>
              </w:rPr>
            </w:r>
            <w:r>
              <w:rPr>
                <w:noProof/>
                <w:webHidden/>
              </w:rPr>
              <w:fldChar w:fldCharType="separate"/>
            </w:r>
            <w:r>
              <w:rPr>
                <w:noProof/>
                <w:webHidden/>
              </w:rPr>
              <w:t>8</w:t>
            </w:r>
            <w:r>
              <w:rPr>
                <w:noProof/>
                <w:webHidden/>
              </w:rPr>
              <w:fldChar w:fldCharType="end"/>
            </w:r>
          </w:hyperlink>
        </w:p>
        <w:p w14:paraId="043A2E13" w14:textId="503A3AEB" w:rsidR="00075F0F" w:rsidRDefault="00075F0F">
          <w:pPr>
            <w:pStyle w:val="TOC3"/>
            <w:tabs>
              <w:tab w:val="left" w:pos="800"/>
              <w:tab w:val="right" w:pos="13948"/>
            </w:tabs>
            <w:rPr>
              <w:noProof/>
              <w:sz w:val="22"/>
              <w:szCs w:val="22"/>
              <w:lang w:val="en-MU" w:eastAsia="en-MU"/>
            </w:rPr>
          </w:pPr>
          <w:hyperlink w:anchor="_Toc73131450" w:history="1">
            <w:r w:rsidRPr="001F1D8E">
              <w:rPr>
                <w:rStyle w:val="Hyperlink"/>
                <w:b/>
                <w:noProof/>
              </w:rPr>
              <w:t>3.4</w:t>
            </w:r>
            <w:r>
              <w:rPr>
                <w:noProof/>
                <w:sz w:val="22"/>
                <w:szCs w:val="22"/>
                <w:lang w:val="en-MU" w:eastAsia="en-MU"/>
              </w:rPr>
              <w:tab/>
            </w:r>
            <w:r w:rsidRPr="001F1D8E">
              <w:rPr>
                <w:rStyle w:val="Hyperlink"/>
                <w:b/>
                <w:noProof/>
              </w:rPr>
              <w:t>maintenance of the scheme</w:t>
            </w:r>
            <w:r>
              <w:rPr>
                <w:noProof/>
                <w:webHidden/>
              </w:rPr>
              <w:tab/>
            </w:r>
            <w:r>
              <w:rPr>
                <w:noProof/>
                <w:webHidden/>
              </w:rPr>
              <w:fldChar w:fldCharType="begin"/>
            </w:r>
            <w:r>
              <w:rPr>
                <w:noProof/>
                <w:webHidden/>
              </w:rPr>
              <w:instrText xml:space="preserve"> PAGEREF _Toc73131450 \h </w:instrText>
            </w:r>
            <w:r>
              <w:rPr>
                <w:noProof/>
                <w:webHidden/>
              </w:rPr>
            </w:r>
            <w:r>
              <w:rPr>
                <w:noProof/>
                <w:webHidden/>
              </w:rPr>
              <w:fldChar w:fldCharType="separate"/>
            </w:r>
            <w:r>
              <w:rPr>
                <w:noProof/>
                <w:webHidden/>
              </w:rPr>
              <w:t>9</w:t>
            </w:r>
            <w:r>
              <w:rPr>
                <w:noProof/>
                <w:webHidden/>
              </w:rPr>
              <w:fldChar w:fldCharType="end"/>
            </w:r>
          </w:hyperlink>
        </w:p>
        <w:p w14:paraId="47064E37" w14:textId="54CA9EE8" w:rsidR="00075F0F" w:rsidRDefault="00075F0F">
          <w:pPr>
            <w:pStyle w:val="TOC1"/>
            <w:tabs>
              <w:tab w:val="right" w:pos="13948"/>
            </w:tabs>
            <w:rPr>
              <w:rFonts w:asciiTheme="minorHAnsi" w:hAnsiTheme="minorHAnsi"/>
              <w:b w:val="0"/>
              <w:bCs w:val="0"/>
              <w:caps w:val="0"/>
              <w:noProof/>
              <w:sz w:val="22"/>
              <w:szCs w:val="22"/>
              <w:lang w:val="en-MU" w:eastAsia="en-MU"/>
            </w:rPr>
          </w:pPr>
          <w:hyperlink w:anchor="_Toc73131451" w:history="1">
            <w:r w:rsidRPr="001F1D8E">
              <w:rPr>
                <w:rStyle w:val="Hyperlink"/>
                <w:rFonts w:ascii="Arial Nova Cond" w:hAnsi="Arial Nova Cond"/>
                <w:noProof/>
              </w:rPr>
              <w:t>part 4: residency in mauritius</w:t>
            </w:r>
            <w:r>
              <w:rPr>
                <w:noProof/>
                <w:webHidden/>
              </w:rPr>
              <w:tab/>
            </w:r>
            <w:r>
              <w:rPr>
                <w:noProof/>
                <w:webHidden/>
              </w:rPr>
              <w:fldChar w:fldCharType="begin"/>
            </w:r>
            <w:r>
              <w:rPr>
                <w:noProof/>
                <w:webHidden/>
              </w:rPr>
              <w:instrText xml:space="preserve"> PAGEREF _Toc73131451 \h </w:instrText>
            </w:r>
            <w:r>
              <w:rPr>
                <w:noProof/>
                <w:webHidden/>
              </w:rPr>
            </w:r>
            <w:r>
              <w:rPr>
                <w:noProof/>
                <w:webHidden/>
              </w:rPr>
              <w:fldChar w:fldCharType="separate"/>
            </w:r>
            <w:r>
              <w:rPr>
                <w:noProof/>
                <w:webHidden/>
              </w:rPr>
              <w:t>10</w:t>
            </w:r>
            <w:r>
              <w:rPr>
                <w:noProof/>
                <w:webHidden/>
              </w:rPr>
              <w:fldChar w:fldCharType="end"/>
            </w:r>
          </w:hyperlink>
        </w:p>
        <w:p w14:paraId="57F3807A" w14:textId="069B7A76" w:rsidR="00075F0F" w:rsidRDefault="00075F0F">
          <w:pPr>
            <w:pStyle w:val="TOC3"/>
            <w:tabs>
              <w:tab w:val="left" w:pos="800"/>
              <w:tab w:val="right" w:pos="13948"/>
            </w:tabs>
            <w:rPr>
              <w:noProof/>
              <w:sz w:val="22"/>
              <w:szCs w:val="22"/>
              <w:lang w:val="en-MU" w:eastAsia="en-MU"/>
            </w:rPr>
          </w:pPr>
          <w:hyperlink w:anchor="_Toc73131452" w:history="1">
            <w:r w:rsidRPr="001F1D8E">
              <w:rPr>
                <w:rStyle w:val="Hyperlink"/>
                <w:b/>
                <w:noProof/>
              </w:rPr>
              <w:t>4.1</w:t>
            </w:r>
            <w:r>
              <w:rPr>
                <w:noProof/>
                <w:sz w:val="22"/>
                <w:szCs w:val="22"/>
                <w:lang w:val="en-MU" w:eastAsia="en-MU"/>
              </w:rPr>
              <w:tab/>
            </w:r>
            <w:r w:rsidRPr="001F1D8E">
              <w:rPr>
                <w:rStyle w:val="Hyperlink"/>
                <w:b/>
                <w:noProof/>
              </w:rPr>
              <w:t>residency in Mauritius</w:t>
            </w:r>
            <w:r>
              <w:rPr>
                <w:noProof/>
                <w:webHidden/>
              </w:rPr>
              <w:tab/>
            </w:r>
            <w:r>
              <w:rPr>
                <w:noProof/>
                <w:webHidden/>
              </w:rPr>
              <w:fldChar w:fldCharType="begin"/>
            </w:r>
            <w:r>
              <w:rPr>
                <w:noProof/>
                <w:webHidden/>
              </w:rPr>
              <w:instrText xml:space="preserve"> PAGEREF _Toc73131452 \h </w:instrText>
            </w:r>
            <w:r>
              <w:rPr>
                <w:noProof/>
                <w:webHidden/>
              </w:rPr>
            </w:r>
            <w:r>
              <w:rPr>
                <w:noProof/>
                <w:webHidden/>
              </w:rPr>
              <w:fldChar w:fldCharType="separate"/>
            </w:r>
            <w:r>
              <w:rPr>
                <w:noProof/>
                <w:webHidden/>
              </w:rPr>
              <w:t>10</w:t>
            </w:r>
            <w:r>
              <w:rPr>
                <w:noProof/>
                <w:webHidden/>
              </w:rPr>
              <w:fldChar w:fldCharType="end"/>
            </w:r>
          </w:hyperlink>
        </w:p>
        <w:p w14:paraId="3394A2C3" w14:textId="6900613C" w:rsidR="00075F0F" w:rsidRDefault="00075F0F">
          <w:pPr>
            <w:pStyle w:val="TOC3"/>
            <w:tabs>
              <w:tab w:val="left" w:pos="800"/>
              <w:tab w:val="right" w:pos="13948"/>
            </w:tabs>
            <w:rPr>
              <w:noProof/>
              <w:sz w:val="22"/>
              <w:szCs w:val="22"/>
              <w:lang w:val="en-MU" w:eastAsia="en-MU"/>
            </w:rPr>
          </w:pPr>
          <w:hyperlink w:anchor="_Toc73131453" w:history="1">
            <w:r w:rsidRPr="001F1D8E">
              <w:rPr>
                <w:rStyle w:val="Hyperlink"/>
                <w:b/>
                <w:noProof/>
              </w:rPr>
              <w:t>4.2</w:t>
            </w:r>
            <w:r>
              <w:rPr>
                <w:noProof/>
                <w:sz w:val="22"/>
                <w:szCs w:val="22"/>
                <w:lang w:val="en-MU" w:eastAsia="en-MU"/>
              </w:rPr>
              <w:tab/>
            </w:r>
            <w:r w:rsidRPr="001F1D8E">
              <w:rPr>
                <w:rStyle w:val="Hyperlink"/>
                <w:b/>
                <w:noProof/>
              </w:rPr>
              <w:t>Documents to be submitted for residence permit</w:t>
            </w:r>
            <w:r>
              <w:rPr>
                <w:noProof/>
                <w:webHidden/>
              </w:rPr>
              <w:tab/>
            </w:r>
            <w:r>
              <w:rPr>
                <w:noProof/>
                <w:webHidden/>
              </w:rPr>
              <w:fldChar w:fldCharType="begin"/>
            </w:r>
            <w:r>
              <w:rPr>
                <w:noProof/>
                <w:webHidden/>
              </w:rPr>
              <w:instrText xml:space="preserve"> PAGEREF _Toc73131453 \h </w:instrText>
            </w:r>
            <w:r>
              <w:rPr>
                <w:noProof/>
                <w:webHidden/>
              </w:rPr>
            </w:r>
            <w:r>
              <w:rPr>
                <w:noProof/>
                <w:webHidden/>
              </w:rPr>
              <w:fldChar w:fldCharType="separate"/>
            </w:r>
            <w:r>
              <w:rPr>
                <w:noProof/>
                <w:webHidden/>
              </w:rPr>
              <w:t>10</w:t>
            </w:r>
            <w:r>
              <w:rPr>
                <w:noProof/>
                <w:webHidden/>
              </w:rPr>
              <w:fldChar w:fldCharType="end"/>
            </w:r>
          </w:hyperlink>
        </w:p>
        <w:p w14:paraId="6834CF88" w14:textId="5F4313C0" w:rsidR="00075F0F" w:rsidRDefault="00075F0F">
          <w:pPr>
            <w:pStyle w:val="TOC1"/>
            <w:tabs>
              <w:tab w:val="right" w:pos="13948"/>
            </w:tabs>
            <w:rPr>
              <w:rFonts w:asciiTheme="minorHAnsi" w:hAnsiTheme="minorHAnsi"/>
              <w:b w:val="0"/>
              <w:bCs w:val="0"/>
              <w:caps w:val="0"/>
              <w:noProof/>
              <w:sz w:val="22"/>
              <w:szCs w:val="22"/>
              <w:lang w:val="en-MU" w:eastAsia="en-MU"/>
            </w:rPr>
          </w:pPr>
          <w:hyperlink w:anchor="_Toc73131454" w:history="1">
            <w:r w:rsidRPr="001F1D8E">
              <w:rPr>
                <w:rStyle w:val="Hyperlink"/>
                <w:rFonts w:ascii="Arial Nova Cond" w:hAnsi="Arial Nova Cond"/>
                <w:noProof/>
              </w:rPr>
              <w:t>part 5: RESALE of Residential property</w:t>
            </w:r>
            <w:r>
              <w:rPr>
                <w:noProof/>
                <w:webHidden/>
              </w:rPr>
              <w:tab/>
            </w:r>
            <w:r>
              <w:rPr>
                <w:noProof/>
                <w:webHidden/>
              </w:rPr>
              <w:fldChar w:fldCharType="begin"/>
            </w:r>
            <w:r>
              <w:rPr>
                <w:noProof/>
                <w:webHidden/>
              </w:rPr>
              <w:instrText xml:space="preserve"> PAGEREF _Toc73131454 \h </w:instrText>
            </w:r>
            <w:r>
              <w:rPr>
                <w:noProof/>
                <w:webHidden/>
              </w:rPr>
            </w:r>
            <w:r>
              <w:rPr>
                <w:noProof/>
                <w:webHidden/>
              </w:rPr>
              <w:fldChar w:fldCharType="separate"/>
            </w:r>
            <w:r>
              <w:rPr>
                <w:noProof/>
                <w:webHidden/>
              </w:rPr>
              <w:t>11</w:t>
            </w:r>
            <w:r>
              <w:rPr>
                <w:noProof/>
                <w:webHidden/>
              </w:rPr>
              <w:fldChar w:fldCharType="end"/>
            </w:r>
          </w:hyperlink>
        </w:p>
        <w:p w14:paraId="48009C20" w14:textId="4D0A7331" w:rsidR="00495903" w:rsidRDefault="00495903">
          <w:r>
            <w:rPr>
              <w:rFonts w:asciiTheme="majorHAnsi" w:hAnsiTheme="majorHAnsi"/>
              <w:b/>
              <w:bCs/>
              <w:caps/>
              <w:sz w:val="24"/>
              <w:szCs w:val="24"/>
            </w:rPr>
            <w:fldChar w:fldCharType="end"/>
          </w:r>
        </w:p>
      </w:sdtContent>
    </w:sdt>
    <w:p w14:paraId="5F0E6F1B" w14:textId="47C95785" w:rsidR="00470670" w:rsidRPr="00470670" w:rsidRDefault="00470670">
      <w:pPr>
        <w:rPr>
          <w:rFonts w:ascii="Abadi" w:hAnsi="Abadi"/>
          <w:b/>
        </w:rPr>
      </w:pPr>
    </w:p>
    <w:p w14:paraId="122F54B3" w14:textId="3CD1002A" w:rsidR="00470670" w:rsidRPr="00470670" w:rsidRDefault="00470670">
      <w:pPr>
        <w:rPr>
          <w:rFonts w:ascii="Abadi" w:hAnsi="Abadi"/>
          <w:b/>
        </w:rPr>
      </w:pPr>
      <w:r w:rsidRPr="00470670">
        <w:rPr>
          <w:rFonts w:ascii="Abadi" w:hAnsi="Abadi"/>
          <w:b/>
        </w:rPr>
        <w:br w:type="page"/>
      </w:r>
    </w:p>
    <w:p w14:paraId="39001A62" w14:textId="373BD40F" w:rsidR="00470670" w:rsidRPr="00470670" w:rsidRDefault="00470670" w:rsidP="00470670">
      <w:pPr>
        <w:pStyle w:val="Heading1"/>
        <w:rPr>
          <w:rFonts w:ascii="Abadi" w:hAnsi="Abadi"/>
          <w:b/>
        </w:rPr>
      </w:pPr>
      <w:bookmarkStart w:id="1" w:name="_Toc73131437"/>
      <w:r w:rsidRPr="00470670">
        <w:rPr>
          <w:rFonts w:ascii="Abadi" w:hAnsi="Abadi"/>
          <w:b/>
        </w:rPr>
        <w:lastRenderedPageBreak/>
        <w:t>Preface</w:t>
      </w:r>
      <w:bookmarkEnd w:id="1"/>
    </w:p>
    <w:p w14:paraId="0D4311E7" w14:textId="61128536" w:rsidR="00470670" w:rsidRPr="00470670" w:rsidRDefault="00470670">
      <w:pPr>
        <w:rPr>
          <w:rFonts w:ascii="Abadi" w:hAnsi="Abadi"/>
          <w:b/>
        </w:rPr>
      </w:pPr>
    </w:p>
    <w:p w14:paraId="2E355AC6" w14:textId="77777777" w:rsidR="00311244" w:rsidRDefault="00311244">
      <w:pPr>
        <w:rPr>
          <w:rFonts w:ascii="Abadi" w:hAnsi="Abadi"/>
          <w:b/>
        </w:rPr>
      </w:pPr>
    </w:p>
    <w:p w14:paraId="029857B9" w14:textId="77777777" w:rsidR="009E3F76" w:rsidRDefault="009E3F76">
      <w:pPr>
        <w:rPr>
          <w:rFonts w:ascii="Abadi" w:hAnsi="Abadi"/>
          <w:b/>
        </w:rPr>
      </w:pPr>
    </w:p>
    <w:p w14:paraId="296A11CD" w14:textId="3EED4F79" w:rsidR="009E3F76" w:rsidRPr="00B37E71" w:rsidRDefault="009E3F76" w:rsidP="009E3F76">
      <w:pPr>
        <w:spacing w:line="360" w:lineRule="auto"/>
        <w:ind w:firstLine="720"/>
        <w:jc w:val="both"/>
        <w:rPr>
          <w:rFonts w:ascii="Arial" w:hAnsi="Arial" w:cs="Arial"/>
          <w:i/>
          <w:sz w:val="26"/>
          <w:szCs w:val="26"/>
        </w:rPr>
      </w:pPr>
      <w:r w:rsidRPr="00B37E71">
        <w:rPr>
          <w:rFonts w:ascii="Arial" w:hAnsi="Arial" w:cs="Arial"/>
          <w:i/>
          <w:sz w:val="26"/>
          <w:szCs w:val="26"/>
        </w:rPr>
        <w:t xml:space="preserve">This publication contains guidance for </w:t>
      </w:r>
      <w:r w:rsidR="00075F0F">
        <w:rPr>
          <w:rFonts w:ascii="Arial" w:hAnsi="Arial" w:cs="Arial"/>
          <w:i/>
          <w:sz w:val="26"/>
          <w:szCs w:val="26"/>
        </w:rPr>
        <w:t xml:space="preserve">non-citizen buyers interested in acquiring a unit in </w:t>
      </w:r>
      <w:r w:rsidRPr="00B37E71">
        <w:rPr>
          <w:rFonts w:ascii="Arial" w:hAnsi="Arial" w:cs="Arial"/>
          <w:i/>
          <w:sz w:val="26"/>
          <w:szCs w:val="26"/>
        </w:rPr>
        <w:t>a project under the Property Development Scheme (PDS)</w:t>
      </w:r>
      <w:r>
        <w:rPr>
          <w:rFonts w:ascii="Arial" w:hAnsi="Arial" w:cs="Arial"/>
          <w:i/>
          <w:sz w:val="26"/>
          <w:szCs w:val="26"/>
        </w:rPr>
        <w:t xml:space="preserve"> relating to senior living</w:t>
      </w:r>
      <w:r w:rsidRPr="00B37E71">
        <w:rPr>
          <w:rFonts w:ascii="Arial" w:hAnsi="Arial" w:cs="Arial"/>
          <w:i/>
          <w:sz w:val="26"/>
          <w:szCs w:val="26"/>
        </w:rPr>
        <w:t xml:space="preserve">. These guidelines are based on provisions of the </w:t>
      </w:r>
      <w:r w:rsidR="00075F0F">
        <w:rPr>
          <w:rFonts w:ascii="Arial" w:hAnsi="Arial" w:cs="Arial"/>
          <w:i/>
          <w:sz w:val="26"/>
          <w:szCs w:val="26"/>
        </w:rPr>
        <w:t>Economic Development Board 2018</w:t>
      </w:r>
      <w:r w:rsidRPr="00B37E71">
        <w:rPr>
          <w:rFonts w:ascii="Arial" w:hAnsi="Arial" w:cs="Arial"/>
          <w:i/>
          <w:sz w:val="26"/>
          <w:szCs w:val="26"/>
        </w:rPr>
        <w:t xml:space="preserve"> and </w:t>
      </w:r>
      <w:r>
        <w:rPr>
          <w:rFonts w:ascii="Arial" w:hAnsi="Arial" w:cs="Arial"/>
          <w:i/>
          <w:sz w:val="26"/>
          <w:szCs w:val="26"/>
        </w:rPr>
        <w:t xml:space="preserve">the Economic Development Board (Property Development Scheme) Regulations 2015 and </w:t>
      </w:r>
      <w:r w:rsidRPr="00B37E71">
        <w:rPr>
          <w:rFonts w:ascii="Arial" w:hAnsi="Arial" w:cs="Arial"/>
          <w:i/>
          <w:sz w:val="26"/>
          <w:szCs w:val="26"/>
        </w:rPr>
        <w:t xml:space="preserve">are designed to provide information and assist in decision-making. They are neither intended to replace the provisions of the laws and should not be construed as one nor should they be interpreted as prescribing an exclusive course of management. </w:t>
      </w:r>
    </w:p>
    <w:p w14:paraId="6539A4CA" w14:textId="77777777" w:rsidR="009E3F76" w:rsidRPr="00B37E71" w:rsidRDefault="009E3F76" w:rsidP="009E3F76">
      <w:pPr>
        <w:spacing w:line="360" w:lineRule="auto"/>
        <w:ind w:left="-540" w:firstLine="540"/>
        <w:jc w:val="both"/>
        <w:rPr>
          <w:rFonts w:ascii="Arial" w:hAnsi="Arial" w:cs="Arial"/>
          <w:i/>
          <w:sz w:val="26"/>
          <w:szCs w:val="26"/>
        </w:rPr>
      </w:pPr>
    </w:p>
    <w:p w14:paraId="6F73B684" w14:textId="77777777" w:rsidR="009E3F76" w:rsidRPr="00B37E71" w:rsidRDefault="009E3F76" w:rsidP="009E3F76">
      <w:pPr>
        <w:spacing w:line="360" w:lineRule="auto"/>
        <w:jc w:val="both"/>
        <w:rPr>
          <w:rFonts w:ascii="Arial" w:hAnsi="Arial" w:cs="Arial"/>
          <w:i/>
          <w:sz w:val="26"/>
          <w:szCs w:val="26"/>
        </w:rPr>
      </w:pPr>
      <w:r w:rsidRPr="00B37E71">
        <w:rPr>
          <w:rFonts w:ascii="Arial" w:hAnsi="Arial" w:cs="Arial"/>
          <w:i/>
          <w:sz w:val="26"/>
          <w:szCs w:val="26"/>
        </w:rPr>
        <w:tab/>
        <w:t xml:space="preserve">Whilst care has been taken to ensure that the information provided herein is accurate and correct, at the time of publication, users of this publication are advised to seek guidance from the </w:t>
      </w:r>
      <w:r>
        <w:rPr>
          <w:rFonts w:ascii="Arial" w:hAnsi="Arial" w:cs="Arial"/>
          <w:i/>
          <w:sz w:val="26"/>
          <w:szCs w:val="26"/>
        </w:rPr>
        <w:t>Economic Development Board</w:t>
      </w:r>
      <w:r w:rsidRPr="00B37E71">
        <w:rPr>
          <w:rFonts w:ascii="Arial" w:hAnsi="Arial" w:cs="Arial"/>
          <w:i/>
          <w:sz w:val="26"/>
          <w:szCs w:val="26"/>
        </w:rPr>
        <w:t xml:space="preserve"> in case of uncertainty or ambiguity encountered in reading. The </w:t>
      </w:r>
      <w:r>
        <w:rPr>
          <w:rFonts w:ascii="Arial" w:hAnsi="Arial" w:cs="Arial"/>
          <w:i/>
          <w:sz w:val="26"/>
          <w:szCs w:val="26"/>
        </w:rPr>
        <w:t>Economic Development Board</w:t>
      </w:r>
      <w:r w:rsidRPr="00B37E71">
        <w:rPr>
          <w:rFonts w:ascii="Arial" w:hAnsi="Arial" w:cs="Arial"/>
          <w:i/>
          <w:sz w:val="26"/>
          <w:szCs w:val="26"/>
        </w:rPr>
        <w:t xml:space="preserve"> shall, in no circumstances whatsoever, be held liable to any person arising from use of information contained herein.</w:t>
      </w:r>
    </w:p>
    <w:p w14:paraId="7BCAE439" w14:textId="1DE5591C" w:rsidR="009E3F76" w:rsidRPr="009E3F76" w:rsidRDefault="009E3F76">
      <w:pPr>
        <w:rPr>
          <w:rFonts w:ascii="Abadi" w:hAnsi="Abadi"/>
          <w:b/>
        </w:rPr>
        <w:sectPr w:rsidR="009E3F76" w:rsidRPr="009E3F76" w:rsidSect="00311244">
          <w:headerReference w:type="default" r:id="rId12"/>
          <w:pgSz w:w="16838" w:h="11906" w:orient="landscape"/>
          <w:pgMar w:top="1440" w:right="1440" w:bottom="1440" w:left="1440" w:header="708" w:footer="708" w:gutter="0"/>
          <w:cols w:space="708"/>
          <w:docGrid w:linePitch="360"/>
        </w:sectPr>
      </w:pPr>
    </w:p>
    <w:p w14:paraId="45658C3B" w14:textId="217E91E5" w:rsidR="00FA10A0" w:rsidRPr="00D109CE" w:rsidRDefault="009E3F76" w:rsidP="00FA10A0">
      <w:pPr>
        <w:pStyle w:val="Heading1"/>
        <w:spacing w:before="0" w:after="240"/>
        <w:jc w:val="both"/>
        <w:rPr>
          <w:rFonts w:ascii="Univers" w:hAnsi="Univers"/>
          <w:b/>
        </w:rPr>
      </w:pPr>
      <w:bookmarkStart w:id="2" w:name="_Toc73131438"/>
      <w:r>
        <w:rPr>
          <w:rFonts w:ascii="Arial Nova Cond" w:hAnsi="Arial Nova Cond"/>
          <w:b/>
          <w:sz w:val="40"/>
        </w:rPr>
        <w:lastRenderedPageBreak/>
        <w:t xml:space="preserve">part </w:t>
      </w:r>
      <w:r w:rsidR="00075F0F">
        <w:rPr>
          <w:rFonts w:ascii="Arial Nova Cond" w:hAnsi="Arial Nova Cond"/>
          <w:b/>
          <w:sz w:val="40"/>
        </w:rPr>
        <w:t>1</w:t>
      </w:r>
      <w:r>
        <w:rPr>
          <w:rFonts w:ascii="Arial Nova Cond" w:hAnsi="Arial Nova Cond"/>
          <w:b/>
          <w:sz w:val="40"/>
        </w:rPr>
        <w:t xml:space="preserve">: </w:t>
      </w:r>
      <w:r w:rsidRPr="009E3F76">
        <w:rPr>
          <w:rFonts w:ascii="Arial Nova Cond" w:hAnsi="Arial Nova Cond"/>
          <w:b/>
          <w:sz w:val="40"/>
        </w:rPr>
        <w:t xml:space="preserve">Sale of residential </w:t>
      </w:r>
      <w:r w:rsidR="00D109CE">
        <w:rPr>
          <w:rFonts w:ascii="Arial Nova Cond" w:hAnsi="Arial Nova Cond"/>
          <w:b/>
          <w:sz w:val="40"/>
        </w:rPr>
        <w:t>units</w:t>
      </w:r>
      <w:bookmarkEnd w:id="2"/>
    </w:p>
    <w:p w14:paraId="63833033" w14:textId="4E64FA38" w:rsidR="00FA10A0" w:rsidRPr="00495903" w:rsidRDefault="00FA10A0" w:rsidP="00FA10A0">
      <w:pPr>
        <w:jc w:val="both"/>
        <w:rPr>
          <w:rFonts w:ascii="Abadi" w:eastAsia="Times New Roman" w:hAnsi="Abadi" w:cs="Arial"/>
        </w:rPr>
      </w:pPr>
      <w:r w:rsidRPr="00495903">
        <w:rPr>
          <w:rFonts w:ascii="Abadi" w:eastAsia="Times New Roman" w:hAnsi="Abadi" w:cs="Arial"/>
        </w:rPr>
        <w:t xml:space="preserve">This section deals with the sale of built-up residential properties including sales made under the provisions of a vente </w:t>
      </w:r>
      <w:proofErr w:type="spellStart"/>
      <w:r w:rsidRPr="00495903">
        <w:rPr>
          <w:rFonts w:ascii="Abadi" w:eastAsia="Times New Roman" w:hAnsi="Abadi" w:cs="Arial"/>
        </w:rPr>
        <w:t>en</w:t>
      </w:r>
      <w:proofErr w:type="spellEnd"/>
      <w:r w:rsidRPr="00495903">
        <w:rPr>
          <w:rFonts w:ascii="Abadi" w:eastAsia="Times New Roman" w:hAnsi="Abadi" w:cs="Arial"/>
        </w:rPr>
        <w:t xml:space="preserve"> </w:t>
      </w:r>
      <w:proofErr w:type="spellStart"/>
      <w:r w:rsidRPr="00495903">
        <w:rPr>
          <w:rFonts w:ascii="Abadi" w:eastAsia="Times New Roman" w:hAnsi="Abadi" w:cs="Arial"/>
        </w:rPr>
        <w:t>l’état</w:t>
      </w:r>
      <w:proofErr w:type="spellEnd"/>
      <w:r w:rsidRPr="00495903">
        <w:rPr>
          <w:rFonts w:ascii="Abadi" w:eastAsia="Times New Roman" w:hAnsi="Abadi" w:cs="Arial"/>
        </w:rPr>
        <w:t xml:space="preserve"> </w:t>
      </w:r>
      <w:proofErr w:type="spellStart"/>
      <w:r w:rsidRPr="00495903">
        <w:rPr>
          <w:rFonts w:ascii="Abadi" w:eastAsia="Times New Roman" w:hAnsi="Abadi" w:cs="Arial"/>
        </w:rPr>
        <w:t>futur</w:t>
      </w:r>
      <w:proofErr w:type="spellEnd"/>
      <w:r w:rsidRPr="00495903">
        <w:rPr>
          <w:rFonts w:ascii="Abadi" w:eastAsia="Times New Roman" w:hAnsi="Abadi" w:cs="Arial"/>
        </w:rPr>
        <w:t xml:space="preserve"> </w:t>
      </w:r>
      <w:proofErr w:type="spellStart"/>
      <w:r w:rsidRPr="00495903">
        <w:rPr>
          <w:rFonts w:ascii="Abadi" w:eastAsia="Times New Roman" w:hAnsi="Abadi" w:cs="Arial"/>
        </w:rPr>
        <w:t>d’achèvement</w:t>
      </w:r>
      <w:proofErr w:type="spellEnd"/>
      <w:r w:rsidRPr="00495903">
        <w:rPr>
          <w:rFonts w:ascii="Abadi" w:eastAsia="Times New Roman" w:hAnsi="Abadi" w:cs="Arial"/>
        </w:rPr>
        <w:t xml:space="preserve"> (VEFA).</w:t>
      </w:r>
    </w:p>
    <w:p w14:paraId="4481F78B" w14:textId="213E6A77" w:rsidR="00DF4EBF" w:rsidRPr="00495903" w:rsidRDefault="00FA10A0" w:rsidP="00DF4EBF">
      <w:pPr>
        <w:jc w:val="both"/>
        <w:rPr>
          <w:rFonts w:ascii="Abadi" w:eastAsia="Times New Roman" w:hAnsi="Abadi" w:cs="Arial"/>
        </w:rPr>
      </w:pPr>
      <w:r w:rsidRPr="00495903">
        <w:rPr>
          <w:rFonts w:ascii="Abadi" w:eastAsia="Times New Roman" w:hAnsi="Abadi" w:cs="Arial"/>
        </w:rPr>
        <w:t>The following persons may acquire a residential property from a</w:t>
      </w:r>
      <w:r w:rsidR="00DF4EBF" w:rsidRPr="00495903">
        <w:rPr>
          <w:rFonts w:ascii="Abadi" w:eastAsia="Times New Roman" w:hAnsi="Abadi" w:cs="Arial"/>
        </w:rPr>
        <w:t xml:space="preserve"> </w:t>
      </w:r>
      <w:r w:rsidR="00495903">
        <w:rPr>
          <w:rFonts w:ascii="Abadi" w:eastAsia="Times New Roman" w:hAnsi="Abadi" w:cs="Arial"/>
        </w:rPr>
        <w:t xml:space="preserve">company holder of </w:t>
      </w:r>
      <w:r w:rsidR="00DF4EBF" w:rsidRPr="00495903">
        <w:rPr>
          <w:rFonts w:ascii="Abadi" w:eastAsia="Times New Roman" w:hAnsi="Abadi" w:cs="Arial"/>
        </w:rPr>
        <w:t xml:space="preserve">PDS </w:t>
      </w:r>
      <w:r w:rsidR="00495903">
        <w:rPr>
          <w:rFonts w:ascii="Abadi" w:eastAsia="Times New Roman" w:hAnsi="Abadi" w:cs="Arial"/>
        </w:rPr>
        <w:t xml:space="preserve">Certificate </w:t>
      </w:r>
      <w:r w:rsidR="00DF4EBF" w:rsidRPr="00495903">
        <w:rPr>
          <w:rFonts w:ascii="Abadi" w:eastAsia="Times New Roman" w:hAnsi="Abadi" w:cs="Arial"/>
        </w:rPr>
        <w:t>for Senior Living:</w:t>
      </w:r>
      <w:bookmarkStart w:id="3" w:name="_Toc423033359"/>
      <w:bookmarkStart w:id="4" w:name="_Toc423095610"/>
      <w:bookmarkStart w:id="5" w:name="_Toc423096348"/>
    </w:p>
    <w:bookmarkEnd w:id="3"/>
    <w:bookmarkEnd w:id="4"/>
    <w:bookmarkEnd w:id="5"/>
    <w:p w14:paraId="1634A7FE" w14:textId="77777777"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a citizen of Mauritius</w:t>
      </w:r>
    </w:p>
    <w:p w14:paraId="7D1D6C59" w14:textId="77777777"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 xml:space="preserve">a non-citizen </w:t>
      </w:r>
    </w:p>
    <w:p w14:paraId="6CD2918F" w14:textId="2CE9EEA4"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a member of the Mauritian Diaspora</w:t>
      </w:r>
      <w:r w:rsidR="005F7B68" w:rsidRPr="00495903">
        <w:rPr>
          <w:rFonts w:ascii="Abadi" w:eastAsia="Times New Roman" w:hAnsi="Abadi" w:cs="Arial"/>
        </w:rPr>
        <w:t xml:space="preserve"> registered under the Mauritian Diaspora Scheme</w:t>
      </w:r>
    </w:p>
    <w:p w14:paraId="65270545" w14:textId="77777777"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a company incorporated or registered under the Companies Act</w:t>
      </w:r>
    </w:p>
    <w:p w14:paraId="25021EAE" w14:textId="77777777"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 xml:space="preserve">a </w:t>
      </w:r>
      <w:proofErr w:type="spellStart"/>
      <w:r w:rsidRPr="00495903">
        <w:rPr>
          <w:rFonts w:ascii="Abadi" w:eastAsia="Times New Roman" w:hAnsi="Abadi" w:cs="Arial"/>
        </w:rPr>
        <w:t>société</w:t>
      </w:r>
      <w:proofErr w:type="spellEnd"/>
      <w:r w:rsidRPr="00495903">
        <w:rPr>
          <w:rFonts w:ascii="Abadi" w:eastAsia="Times New Roman" w:hAnsi="Abadi" w:cs="Arial"/>
        </w:rPr>
        <w:t>, where its deed of formation is deposited with the registrar of companies</w:t>
      </w:r>
    </w:p>
    <w:p w14:paraId="5D5FC14A" w14:textId="77777777"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a limited partnership under the Limited Partnerships Act</w:t>
      </w:r>
    </w:p>
    <w:p w14:paraId="3D872A0C" w14:textId="77777777"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a trust, where the trusteeship services are provided by a qualified trustee</w:t>
      </w:r>
    </w:p>
    <w:p w14:paraId="0564D2FF" w14:textId="77777777" w:rsidR="00FA10A0" w:rsidRPr="00495903" w:rsidRDefault="00FA10A0" w:rsidP="00622172">
      <w:pPr>
        <w:pStyle w:val="ListParagraph"/>
        <w:numPr>
          <w:ilvl w:val="0"/>
          <w:numId w:val="19"/>
        </w:numPr>
        <w:jc w:val="both"/>
        <w:rPr>
          <w:rFonts w:ascii="Abadi" w:eastAsia="Times New Roman" w:hAnsi="Abadi" w:cs="Arial"/>
        </w:rPr>
      </w:pPr>
      <w:r w:rsidRPr="00495903">
        <w:rPr>
          <w:rFonts w:ascii="Abadi" w:eastAsia="Times New Roman" w:hAnsi="Abadi" w:cs="Arial"/>
        </w:rPr>
        <w:t>a Foundation.</w:t>
      </w:r>
    </w:p>
    <w:p w14:paraId="426C3CB4" w14:textId="0E079CE7" w:rsidR="005F7B68" w:rsidRPr="00AD18CF" w:rsidRDefault="005F7B68" w:rsidP="00075F0F">
      <w:pPr>
        <w:pStyle w:val="Heading3"/>
        <w:numPr>
          <w:ilvl w:val="1"/>
          <w:numId w:val="45"/>
        </w:numPr>
        <w:pBdr>
          <w:top w:val="single" w:sz="6" w:space="5" w:color="83992A" w:themeColor="accent1"/>
        </w:pBdr>
        <w:rPr>
          <w:b/>
          <w:color w:val="61721F" w:themeColor="accent1" w:themeShade="BF"/>
        </w:rPr>
      </w:pPr>
      <w:bookmarkStart w:id="6" w:name="_Toc423033360"/>
      <w:bookmarkStart w:id="7" w:name="_Toc423095611"/>
      <w:bookmarkStart w:id="8" w:name="_Toc423096349"/>
      <w:bookmarkStart w:id="9" w:name="_Toc73131439"/>
      <w:r w:rsidRPr="0053776B">
        <w:rPr>
          <w:b/>
          <w:color w:val="61721F" w:themeColor="accent1" w:themeShade="BF"/>
        </w:rPr>
        <w:t>BASIS of sale of a residential property</w:t>
      </w:r>
      <w:bookmarkEnd w:id="9"/>
    </w:p>
    <w:p w14:paraId="0E94235E" w14:textId="77777777" w:rsidR="0053776B" w:rsidRPr="0053776B" w:rsidRDefault="0053776B" w:rsidP="0053776B">
      <w:pPr>
        <w:pStyle w:val="ListParagraph"/>
        <w:ind w:left="360"/>
        <w:jc w:val="both"/>
        <w:rPr>
          <w:b/>
          <w:caps/>
          <w:color w:val="61721F" w:themeColor="accent1" w:themeShade="BF"/>
          <w:spacing w:val="15"/>
        </w:rPr>
      </w:pPr>
    </w:p>
    <w:bookmarkEnd w:id="6"/>
    <w:bookmarkEnd w:id="7"/>
    <w:bookmarkEnd w:id="8"/>
    <w:p w14:paraId="0F061F76" w14:textId="07259450" w:rsidR="005F7B68" w:rsidRPr="00C63D1E" w:rsidRDefault="005F7B68" w:rsidP="0053776B">
      <w:pPr>
        <w:pStyle w:val="ListParagraph"/>
        <w:numPr>
          <w:ilvl w:val="0"/>
          <w:numId w:val="20"/>
        </w:numPr>
        <w:jc w:val="both"/>
        <w:rPr>
          <w:rFonts w:ascii="Abadi" w:eastAsia="Times New Roman" w:hAnsi="Abadi" w:cs="Arial"/>
        </w:rPr>
      </w:pPr>
      <w:r w:rsidRPr="00C63D1E">
        <w:rPr>
          <w:rFonts w:ascii="Abadi" w:eastAsia="Times New Roman" w:hAnsi="Abadi" w:cs="Arial"/>
        </w:rPr>
        <w:t xml:space="preserve">A residential property under </w:t>
      </w:r>
      <w:r w:rsidR="00731BFF" w:rsidRPr="00C63D1E">
        <w:rPr>
          <w:rFonts w:ascii="Abadi" w:eastAsia="Times New Roman" w:hAnsi="Abadi" w:cs="Arial"/>
        </w:rPr>
        <w:t>the PDS for Senior Living</w:t>
      </w:r>
      <w:r w:rsidRPr="00C63D1E">
        <w:rPr>
          <w:rFonts w:ascii="Abadi" w:eastAsia="Times New Roman" w:hAnsi="Abadi" w:cs="Arial"/>
        </w:rPr>
        <w:t xml:space="preserve"> may be sold either </w:t>
      </w:r>
      <w:proofErr w:type="gramStart"/>
      <w:r w:rsidRPr="00C63D1E">
        <w:rPr>
          <w:rFonts w:ascii="Abadi" w:eastAsia="Times New Roman" w:hAnsi="Abadi" w:cs="Arial"/>
        </w:rPr>
        <w:t>on the basis of</w:t>
      </w:r>
      <w:proofErr w:type="gramEnd"/>
      <w:r w:rsidRPr="00C63D1E">
        <w:rPr>
          <w:rFonts w:ascii="Abadi" w:eastAsia="Times New Roman" w:hAnsi="Abadi" w:cs="Arial"/>
        </w:rPr>
        <w:t xml:space="preserve"> a plan, during the construction phase or when the construction is completed.</w:t>
      </w:r>
    </w:p>
    <w:p w14:paraId="6B5ADBE0" w14:textId="5BABFFE3" w:rsidR="005F7B68" w:rsidRPr="00C63D1E" w:rsidRDefault="005F7B68" w:rsidP="00622172">
      <w:pPr>
        <w:pStyle w:val="BodyText"/>
        <w:numPr>
          <w:ilvl w:val="0"/>
          <w:numId w:val="20"/>
        </w:numPr>
        <w:autoSpaceDE w:val="0"/>
        <w:autoSpaceDN w:val="0"/>
        <w:adjustRightInd w:val="0"/>
        <w:spacing w:before="120" w:after="0" w:line="240" w:lineRule="auto"/>
        <w:jc w:val="both"/>
        <w:rPr>
          <w:rFonts w:ascii="Abadi" w:hAnsi="Abadi" w:cs="Arial"/>
          <w:lang w:val="en-GB"/>
        </w:rPr>
      </w:pPr>
      <w:r w:rsidRPr="00C63D1E">
        <w:rPr>
          <w:rFonts w:ascii="Abadi" w:eastAsia="Times New Roman" w:hAnsi="Abadi" w:cs="Arial"/>
          <w:sz w:val="20"/>
          <w:szCs w:val="20"/>
        </w:rPr>
        <w:t xml:space="preserve">Where the acquisition of an immovable property is made on the basis of a plan or during the construction phase, the contract shall be governed by the provisions of a “vente à </w:t>
      </w:r>
      <w:proofErr w:type="spellStart"/>
      <w:r w:rsidRPr="00C63D1E">
        <w:rPr>
          <w:rFonts w:ascii="Abadi" w:eastAsia="Times New Roman" w:hAnsi="Abadi" w:cs="Arial"/>
          <w:sz w:val="20"/>
          <w:szCs w:val="20"/>
        </w:rPr>
        <w:t>terme</w:t>
      </w:r>
      <w:proofErr w:type="spellEnd"/>
      <w:r w:rsidRPr="00C63D1E">
        <w:rPr>
          <w:rFonts w:ascii="Abadi" w:eastAsia="Times New Roman" w:hAnsi="Abadi" w:cs="Arial"/>
          <w:sz w:val="20"/>
          <w:szCs w:val="20"/>
        </w:rPr>
        <w:t xml:space="preserve">” or vente </w:t>
      </w:r>
      <w:proofErr w:type="spellStart"/>
      <w:r w:rsidRPr="00C63D1E">
        <w:rPr>
          <w:rFonts w:ascii="Abadi" w:eastAsia="Times New Roman" w:hAnsi="Abadi" w:cs="Arial"/>
          <w:sz w:val="20"/>
          <w:szCs w:val="20"/>
        </w:rPr>
        <w:t>en</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l’état</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futur</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d’achèvement</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VEFA</w:t>
      </w:r>
      <w:proofErr w:type="spellEnd"/>
      <w:r w:rsidRPr="00C63D1E">
        <w:rPr>
          <w:rFonts w:ascii="Abadi" w:eastAsia="Times New Roman" w:hAnsi="Abadi" w:cs="Arial"/>
          <w:sz w:val="20"/>
          <w:szCs w:val="20"/>
        </w:rPr>
        <w:t>)”, as the case may be, in accordance with</w:t>
      </w:r>
      <w:r w:rsidRPr="00C63D1E">
        <w:rPr>
          <w:rFonts w:ascii="Abadi" w:hAnsi="Abadi" w:cs="Arial"/>
          <w:lang w:val="en-GB"/>
        </w:rPr>
        <w:t xml:space="preserve"> </w:t>
      </w:r>
      <w:r w:rsidRPr="00C63D1E">
        <w:rPr>
          <w:rFonts w:ascii="Abadi" w:eastAsia="Times New Roman" w:hAnsi="Abadi" w:cs="Arial"/>
          <w:sz w:val="20"/>
          <w:szCs w:val="20"/>
        </w:rPr>
        <w:t>provisions of articles 1601-1 to 1601-45 of the Code Civil Mauricien.</w:t>
      </w:r>
      <w:r w:rsidRPr="00C63D1E">
        <w:rPr>
          <w:rFonts w:ascii="Abadi" w:hAnsi="Abadi" w:cs="Arial"/>
          <w:lang w:val="en-GB"/>
        </w:rPr>
        <w:t xml:space="preserve"> </w:t>
      </w:r>
    </w:p>
    <w:p w14:paraId="17B223E0" w14:textId="77777777" w:rsidR="005F7B68" w:rsidRPr="00C63D1E" w:rsidRDefault="005F7B68" w:rsidP="005F7B68">
      <w:pPr>
        <w:pStyle w:val="BodyText"/>
        <w:autoSpaceDE w:val="0"/>
        <w:autoSpaceDN w:val="0"/>
        <w:adjustRightInd w:val="0"/>
        <w:spacing w:before="120" w:after="0" w:line="240" w:lineRule="auto"/>
        <w:ind w:left="360"/>
        <w:jc w:val="both"/>
        <w:rPr>
          <w:rFonts w:ascii="Abadi" w:hAnsi="Abadi" w:cs="Arial"/>
        </w:rPr>
      </w:pPr>
    </w:p>
    <w:p w14:paraId="281719D3" w14:textId="1A48F740" w:rsidR="005F7B68" w:rsidRPr="00C63D1E" w:rsidRDefault="005F7B68" w:rsidP="00622172">
      <w:pPr>
        <w:pStyle w:val="BodyText"/>
        <w:numPr>
          <w:ilvl w:val="0"/>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A sale for future delivery is the contract by which the seller undertakes to deliver the building on its completion, and the buyer undertakes to take delivery of it and to pay the price of it at the date of delivery. The transfer of ownership is achieved by operation of law by the acknowledgement of the completion of the building through an authentic instrument; it is effective retroactively on the day of the sale.</w:t>
      </w:r>
    </w:p>
    <w:p w14:paraId="5BE31087" w14:textId="77777777" w:rsidR="00731BFF" w:rsidRPr="00C63D1E" w:rsidRDefault="00731BFF" w:rsidP="00731BFF">
      <w:pPr>
        <w:spacing w:before="0" w:after="0" w:line="240" w:lineRule="auto"/>
        <w:ind w:left="720"/>
        <w:jc w:val="both"/>
        <w:rPr>
          <w:rFonts w:ascii="Abadi" w:eastAsia="Times New Roman" w:hAnsi="Abadi" w:cs="Arial"/>
        </w:rPr>
      </w:pPr>
    </w:p>
    <w:p w14:paraId="3F7BB14E" w14:textId="32AE1832" w:rsidR="005F7B68" w:rsidRPr="00C63D1E" w:rsidRDefault="005F7B68" w:rsidP="0053776B">
      <w:pPr>
        <w:pStyle w:val="BodyText"/>
        <w:numPr>
          <w:ilvl w:val="0"/>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A sale in a future state of completion is the contract by which a seller transfers at once to the buyer his rights in the ground as well as the ownership of the existing structures. The works to come become the property of the buyer as they proceed; the buyer is bound to pay the price of them as the work proceeds. </w:t>
      </w:r>
    </w:p>
    <w:p w14:paraId="1798BFE5" w14:textId="77777777" w:rsidR="00731BFF" w:rsidRPr="00C63D1E" w:rsidRDefault="00731BFF" w:rsidP="00731BFF">
      <w:pPr>
        <w:spacing w:before="0" w:after="0" w:line="240" w:lineRule="auto"/>
        <w:ind w:left="720"/>
        <w:contextualSpacing/>
        <w:jc w:val="both"/>
        <w:rPr>
          <w:rFonts w:ascii="Abadi" w:eastAsia="Times New Roman" w:hAnsi="Abadi" w:cs="Arial"/>
        </w:rPr>
      </w:pPr>
    </w:p>
    <w:p w14:paraId="4DFD2546" w14:textId="30FDE722" w:rsidR="005F7B68" w:rsidRPr="00C63D1E" w:rsidRDefault="005F7B68" w:rsidP="0053776B">
      <w:pPr>
        <w:pStyle w:val="BodyText"/>
        <w:numPr>
          <w:ilvl w:val="0"/>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In accordance with the provisions of Article 1601-30 of the Code Civil, the price of a residential unit when sold under “vente </w:t>
      </w:r>
      <w:proofErr w:type="spellStart"/>
      <w:r w:rsidRPr="00C63D1E">
        <w:rPr>
          <w:rFonts w:ascii="Abadi" w:eastAsia="Times New Roman" w:hAnsi="Abadi" w:cs="Arial"/>
          <w:sz w:val="20"/>
          <w:szCs w:val="20"/>
        </w:rPr>
        <w:t>en</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l’état</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futur</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d’achèvement</w:t>
      </w:r>
      <w:proofErr w:type="spellEnd"/>
      <w:r w:rsidRPr="00C63D1E">
        <w:rPr>
          <w:rFonts w:ascii="Abadi" w:eastAsia="Times New Roman" w:hAnsi="Abadi" w:cs="Arial"/>
          <w:sz w:val="20"/>
          <w:szCs w:val="20"/>
        </w:rPr>
        <w:t>” is payable in instalments as the work progresses, as follows:</w:t>
      </w:r>
    </w:p>
    <w:p w14:paraId="2360FE52" w14:textId="27D76EB3" w:rsidR="005F7B68" w:rsidRPr="00C63D1E" w:rsidRDefault="005F7B68" w:rsidP="0053776B">
      <w:pPr>
        <w:pStyle w:val="BodyText"/>
        <w:numPr>
          <w:ilvl w:val="1"/>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Upon signing of the deed: 25%</w:t>
      </w:r>
    </w:p>
    <w:p w14:paraId="5B094D87" w14:textId="77777777" w:rsidR="005F7B68" w:rsidRPr="00C63D1E" w:rsidRDefault="005F7B68" w:rsidP="0053776B">
      <w:pPr>
        <w:pStyle w:val="BodyText"/>
        <w:numPr>
          <w:ilvl w:val="1"/>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Upon completion of the foundation works: 10%</w:t>
      </w:r>
    </w:p>
    <w:p w14:paraId="0EF027A9" w14:textId="77777777" w:rsidR="005F7B68" w:rsidRPr="00C63D1E" w:rsidRDefault="005F7B68" w:rsidP="0053776B">
      <w:pPr>
        <w:pStyle w:val="BodyText"/>
        <w:numPr>
          <w:ilvl w:val="1"/>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Upon completion of roofed-in phase: 35%</w:t>
      </w:r>
    </w:p>
    <w:p w14:paraId="2E2E3C49" w14:textId="77777777" w:rsidR="005F7B68" w:rsidRPr="00C63D1E" w:rsidRDefault="005F7B68" w:rsidP="0053776B">
      <w:pPr>
        <w:pStyle w:val="BodyText"/>
        <w:numPr>
          <w:ilvl w:val="1"/>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Upon completion: 25%</w:t>
      </w:r>
    </w:p>
    <w:p w14:paraId="3ECB97B5" w14:textId="77777777" w:rsidR="005F7B68" w:rsidRPr="00C63D1E" w:rsidRDefault="005F7B68" w:rsidP="0053776B">
      <w:pPr>
        <w:pStyle w:val="BodyText"/>
        <w:numPr>
          <w:ilvl w:val="1"/>
          <w:numId w:val="20"/>
        </w:numPr>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Upon availability of premises: 5%   </w:t>
      </w:r>
    </w:p>
    <w:p w14:paraId="273BF5A4" w14:textId="2294A40A" w:rsidR="00731BFF" w:rsidRDefault="00561AA8" w:rsidP="00075F0F">
      <w:pPr>
        <w:pStyle w:val="Heading3"/>
        <w:numPr>
          <w:ilvl w:val="1"/>
          <w:numId w:val="45"/>
        </w:numPr>
        <w:pBdr>
          <w:top w:val="single" w:sz="6" w:space="5" w:color="83992A" w:themeColor="accent1"/>
        </w:pBdr>
        <w:rPr>
          <w:b/>
          <w:color w:val="61721F" w:themeColor="accent1" w:themeShade="BF"/>
        </w:rPr>
      </w:pPr>
      <w:bookmarkStart w:id="10" w:name="_Toc423033361"/>
      <w:bookmarkStart w:id="11" w:name="_Toc423096350"/>
      <w:bookmarkStart w:id="12" w:name="_Toc73131440"/>
      <w:r w:rsidRPr="00B23D83">
        <w:rPr>
          <w:b/>
          <w:color w:val="61721F" w:themeColor="accent1" w:themeShade="BF"/>
        </w:rPr>
        <w:t>Financing</w:t>
      </w:r>
      <w:r w:rsidR="00731BFF" w:rsidRPr="00B23D83">
        <w:rPr>
          <w:b/>
          <w:color w:val="61721F" w:themeColor="accent1" w:themeShade="BF"/>
        </w:rPr>
        <w:t xml:space="preserve"> of residential</w:t>
      </w:r>
      <w:r w:rsidR="00731BFF" w:rsidRPr="00AD18CF">
        <w:rPr>
          <w:b/>
          <w:color w:val="61721F" w:themeColor="accent1" w:themeShade="BF"/>
        </w:rPr>
        <w:t xml:space="preserve"> </w:t>
      </w:r>
      <w:proofErr w:type="spellStart"/>
      <w:r w:rsidR="00731BFF" w:rsidRPr="00AD18CF">
        <w:rPr>
          <w:b/>
          <w:color w:val="61721F" w:themeColor="accent1" w:themeShade="BF"/>
        </w:rPr>
        <w:t>roperty</w:t>
      </w:r>
      <w:bookmarkEnd w:id="12"/>
      <w:proofErr w:type="spellEnd"/>
    </w:p>
    <w:p w14:paraId="067EC959" w14:textId="77777777" w:rsidR="00AD18CF" w:rsidRPr="00AD18CF" w:rsidRDefault="00AD18CF" w:rsidP="00AD18CF">
      <w:pPr>
        <w:spacing w:after="0"/>
        <w:contextualSpacing/>
      </w:pPr>
    </w:p>
    <w:bookmarkEnd w:id="10"/>
    <w:bookmarkEnd w:id="11"/>
    <w:p w14:paraId="4D20FA02" w14:textId="77777777" w:rsidR="005F7B68" w:rsidRPr="00C63D1E" w:rsidRDefault="005F7B68" w:rsidP="00AD18CF">
      <w:pPr>
        <w:numPr>
          <w:ilvl w:val="0"/>
          <w:numId w:val="21"/>
        </w:numPr>
        <w:spacing w:before="0" w:after="0" w:line="240" w:lineRule="auto"/>
        <w:contextualSpacing/>
        <w:jc w:val="both"/>
        <w:rPr>
          <w:rFonts w:ascii="Abadi" w:eastAsia="Times New Roman" w:hAnsi="Abadi" w:cs="Arial"/>
        </w:rPr>
      </w:pPr>
      <w:r w:rsidRPr="00C63D1E">
        <w:rPr>
          <w:rFonts w:ascii="Abadi" w:eastAsia="Times New Roman" w:hAnsi="Abadi" w:cs="Arial"/>
        </w:rPr>
        <w:t xml:space="preserve">Where a residential property is acquired by a non-citizen or a company whose shareholders are non-citizens or a trust whose beneficiaries are non-citizens or the associates of a </w:t>
      </w:r>
      <w:proofErr w:type="spellStart"/>
      <w:r w:rsidRPr="00C63D1E">
        <w:rPr>
          <w:rFonts w:ascii="Abadi" w:eastAsia="Times New Roman" w:hAnsi="Abadi" w:cs="Arial"/>
        </w:rPr>
        <w:t>société</w:t>
      </w:r>
      <w:proofErr w:type="spellEnd"/>
      <w:r w:rsidRPr="00C63D1E">
        <w:rPr>
          <w:rFonts w:ascii="Abadi" w:eastAsia="Times New Roman" w:hAnsi="Abadi" w:cs="Arial"/>
        </w:rPr>
        <w:t xml:space="preserve"> are non-citizens or limited partners of a limited partnership are non-citizens or beneficiaries of a foundation are non-citizens, the payment can be made in US dollars or its equivalent in any other freely convertible foreign currency.</w:t>
      </w:r>
    </w:p>
    <w:p w14:paraId="496E8454" w14:textId="77777777" w:rsidR="00561AA8" w:rsidRPr="00C63D1E" w:rsidRDefault="00561AA8" w:rsidP="00561AA8">
      <w:pPr>
        <w:spacing w:before="0" w:after="0" w:line="240" w:lineRule="auto"/>
        <w:ind w:left="720"/>
        <w:contextualSpacing/>
        <w:jc w:val="both"/>
        <w:rPr>
          <w:rFonts w:ascii="Abadi" w:eastAsia="Times New Roman" w:hAnsi="Abadi" w:cs="Arial"/>
        </w:rPr>
      </w:pPr>
    </w:p>
    <w:p w14:paraId="53761CA5" w14:textId="2FD76D59" w:rsidR="005F7B68" w:rsidRPr="00C63D1E" w:rsidRDefault="005F7B68" w:rsidP="00622172">
      <w:pPr>
        <w:numPr>
          <w:ilvl w:val="0"/>
          <w:numId w:val="21"/>
        </w:numPr>
        <w:spacing w:before="0" w:after="0" w:line="240" w:lineRule="auto"/>
        <w:contextualSpacing/>
        <w:jc w:val="both"/>
        <w:rPr>
          <w:rFonts w:ascii="Abadi" w:eastAsia="Times New Roman" w:hAnsi="Abadi" w:cs="Arial"/>
        </w:rPr>
      </w:pPr>
      <w:r w:rsidRPr="00C63D1E">
        <w:rPr>
          <w:rFonts w:ascii="Abadi" w:eastAsia="Times New Roman" w:hAnsi="Abadi" w:cs="Arial"/>
        </w:rPr>
        <w:t xml:space="preserve">Where a residential property is acquired by a non-citizen, the investment in the acquisition of that residential property must be </w:t>
      </w:r>
      <w:r w:rsidRPr="00C63D1E">
        <w:rPr>
          <w:rFonts w:ascii="Abadi" w:eastAsia="Times New Roman" w:hAnsi="Abadi" w:cs="Arial"/>
        </w:rPr>
        <w:lastRenderedPageBreak/>
        <w:t xml:space="preserve">financed by the purchaser from funds outside Mauritius and transferred to Mauritius through any reputable bank listed in the Banking </w:t>
      </w:r>
      <w:proofErr w:type="spellStart"/>
      <w:r w:rsidRPr="00C63D1E">
        <w:rPr>
          <w:rFonts w:ascii="Abadi" w:eastAsia="Times New Roman" w:hAnsi="Abadi" w:cs="Arial"/>
        </w:rPr>
        <w:t>Almanach</w:t>
      </w:r>
      <w:proofErr w:type="spellEnd"/>
      <w:r w:rsidRPr="00C63D1E">
        <w:rPr>
          <w:rFonts w:ascii="Abadi" w:eastAsia="Times New Roman" w:hAnsi="Abadi" w:cs="Arial"/>
        </w:rPr>
        <w:t xml:space="preserve"> recognized by the Bank of Mauritius.</w:t>
      </w:r>
    </w:p>
    <w:p w14:paraId="768AB935" w14:textId="77777777" w:rsidR="00561AA8" w:rsidRPr="00C63D1E" w:rsidRDefault="00561AA8" w:rsidP="00561AA8">
      <w:pPr>
        <w:spacing w:before="0" w:after="0" w:line="240" w:lineRule="auto"/>
        <w:ind w:left="720"/>
        <w:contextualSpacing/>
        <w:jc w:val="both"/>
        <w:rPr>
          <w:rFonts w:ascii="Abadi" w:eastAsia="Times New Roman" w:hAnsi="Abadi" w:cs="Arial"/>
        </w:rPr>
      </w:pPr>
    </w:p>
    <w:p w14:paraId="574C9571" w14:textId="48C1C67B" w:rsidR="00B23D83" w:rsidRPr="00C63D1E" w:rsidRDefault="005F7B68" w:rsidP="00AD18CF">
      <w:pPr>
        <w:numPr>
          <w:ilvl w:val="0"/>
          <w:numId w:val="21"/>
        </w:numPr>
        <w:spacing w:before="0" w:after="0" w:line="240" w:lineRule="auto"/>
        <w:contextualSpacing/>
        <w:jc w:val="both"/>
        <w:rPr>
          <w:rFonts w:ascii="Abadi" w:eastAsia="Times New Roman" w:hAnsi="Abadi" w:cs="Arial"/>
        </w:rPr>
      </w:pPr>
      <w:r w:rsidRPr="00C63D1E">
        <w:rPr>
          <w:rFonts w:ascii="Abadi" w:eastAsia="Times New Roman" w:hAnsi="Abadi" w:cs="Arial"/>
        </w:rPr>
        <w:t xml:space="preserve">Where a loan is contracted in Mauritius currency with a bank in Mauritius, the first 500,000 US dollars must be paid in USD or its equivalent in any other freely convertible foreign currency; and the repayment of the loan must be </w:t>
      </w:r>
      <w:proofErr w:type="gramStart"/>
      <w:r w:rsidRPr="00C63D1E">
        <w:rPr>
          <w:rFonts w:ascii="Abadi" w:eastAsia="Times New Roman" w:hAnsi="Abadi" w:cs="Arial"/>
        </w:rPr>
        <w:t>effected</w:t>
      </w:r>
      <w:proofErr w:type="gramEnd"/>
      <w:r w:rsidRPr="00C63D1E">
        <w:rPr>
          <w:rFonts w:ascii="Abadi" w:eastAsia="Times New Roman" w:hAnsi="Abadi" w:cs="Arial"/>
        </w:rPr>
        <w:t xml:space="preserve"> in any freely convertible foreign currency.</w:t>
      </w:r>
      <w:bookmarkStart w:id="13" w:name="_Toc423033364"/>
      <w:bookmarkStart w:id="14" w:name="_Toc423095614"/>
      <w:bookmarkStart w:id="15" w:name="_Toc423096353"/>
    </w:p>
    <w:p w14:paraId="03C3B6D4" w14:textId="1102664E" w:rsidR="00561AA8" w:rsidRPr="00AD18CF" w:rsidRDefault="00B23D83" w:rsidP="00075F0F">
      <w:pPr>
        <w:pStyle w:val="Heading3"/>
        <w:numPr>
          <w:ilvl w:val="1"/>
          <w:numId w:val="45"/>
        </w:numPr>
        <w:pBdr>
          <w:top w:val="single" w:sz="6" w:space="5" w:color="83992A" w:themeColor="accent1"/>
        </w:pBdr>
        <w:rPr>
          <w:b/>
          <w:color w:val="61721F" w:themeColor="accent1" w:themeShade="BF"/>
        </w:rPr>
      </w:pPr>
      <w:bookmarkStart w:id="16" w:name="_Toc73131441"/>
      <w:r>
        <w:rPr>
          <w:b/>
          <w:color w:val="61721F" w:themeColor="accent1" w:themeShade="BF"/>
        </w:rPr>
        <w:t>A</w:t>
      </w:r>
      <w:r w:rsidR="00561AA8" w:rsidRPr="00B23D83">
        <w:rPr>
          <w:b/>
          <w:color w:val="61721F" w:themeColor="accent1" w:themeShade="BF"/>
        </w:rPr>
        <w:t xml:space="preserve">pplication to acquire property under </w:t>
      </w:r>
      <w:bookmarkEnd w:id="13"/>
      <w:bookmarkEnd w:id="14"/>
      <w:bookmarkEnd w:id="15"/>
      <w:r>
        <w:rPr>
          <w:b/>
          <w:color w:val="61721F" w:themeColor="accent1" w:themeShade="BF"/>
        </w:rPr>
        <w:t>PDS for SeNIOR LIVING</w:t>
      </w:r>
      <w:bookmarkEnd w:id="16"/>
    </w:p>
    <w:p w14:paraId="21F4F471" w14:textId="77777777" w:rsidR="00B23D83" w:rsidRPr="00B23D83" w:rsidRDefault="00B23D83" w:rsidP="00B23D83">
      <w:pPr>
        <w:spacing w:before="0" w:after="0" w:line="240" w:lineRule="auto"/>
        <w:contextualSpacing/>
        <w:jc w:val="both"/>
        <w:rPr>
          <w:b/>
          <w:caps/>
          <w:color w:val="61721F" w:themeColor="accent1" w:themeShade="BF"/>
          <w:spacing w:val="15"/>
        </w:rPr>
      </w:pPr>
    </w:p>
    <w:p w14:paraId="0649A1BC" w14:textId="5B1ACCC0" w:rsidR="00561AA8" w:rsidRPr="00C63D1E" w:rsidRDefault="00561AA8" w:rsidP="005E05AB">
      <w:pPr>
        <w:pStyle w:val="ListParagraph"/>
        <w:numPr>
          <w:ilvl w:val="0"/>
          <w:numId w:val="36"/>
        </w:numPr>
        <w:spacing w:before="0" w:after="0" w:line="240" w:lineRule="auto"/>
        <w:jc w:val="both"/>
        <w:rPr>
          <w:rFonts w:ascii="Abadi" w:eastAsia="Times New Roman" w:hAnsi="Abadi" w:cs="Arial"/>
        </w:rPr>
      </w:pPr>
      <w:r w:rsidRPr="00C63D1E">
        <w:rPr>
          <w:rFonts w:ascii="Abadi" w:eastAsia="Times New Roman" w:hAnsi="Abadi" w:cs="Arial"/>
        </w:rPr>
        <w:t xml:space="preserve">A non-citizen, company, </w:t>
      </w:r>
      <w:proofErr w:type="spellStart"/>
      <w:r w:rsidRPr="00C63D1E">
        <w:rPr>
          <w:rFonts w:ascii="Abadi" w:eastAsia="Times New Roman" w:hAnsi="Abadi" w:cs="Arial"/>
        </w:rPr>
        <w:t>société</w:t>
      </w:r>
      <w:proofErr w:type="spellEnd"/>
      <w:r w:rsidRPr="00C63D1E">
        <w:rPr>
          <w:rFonts w:ascii="Abadi" w:eastAsia="Times New Roman" w:hAnsi="Abadi" w:cs="Arial"/>
        </w:rPr>
        <w:t xml:space="preserve">, trust, foundation or limited partnership wishing to acquire property under the scheme shall make an application to the Economic Development Board. </w:t>
      </w:r>
    </w:p>
    <w:p w14:paraId="51CE5E0C" w14:textId="77777777" w:rsidR="00561AA8" w:rsidRPr="00C63D1E" w:rsidRDefault="00561AA8" w:rsidP="0053776B">
      <w:pPr>
        <w:spacing w:before="0" w:after="0" w:line="240" w:lineRule="auto"/>
        <w:ind w:left="720"/>
        <w:contextualSpacing/>
        <w:jc w:val="both"/>
        <w:rPr>
          <w:rFonts w:ascii="Abadi" w:eastAsia="Times New Roman" w:hAnsi="Abadi" w:cs="Arial"/>
        </w:rPr>
      </w:pPr>
    </w:p>
    <w:p w14:paraId="74FAC766" w14:textId="40AE6A47" w:rsidR="00561AA8" w:rsidRPr="00C63D1E" w:rsidRDefault="00561AA8" w:rsidP="005E05AB">
      <w:pPr>
        <w:numPr>
          <w:ilvl w:val="0"/>
          <w:numId w:val="36"/>
        </w:numPr>
        <w:spacing w:before="0" w:after="0" w:line="240" w:lineRule="auto"/>
        <w:contextualSpacing/>
        <w:jc w:val="both"/>
        <w:rPr>
          <w:rFonts w:ascii="Abadi" w:eastAsia="Times New Roman" w:hAnsi="Abadi" w:cs="Arial"/>
        </w:rPr>
      </w:pPr>
      <w:r w:rsidRPr="00C63D1E">
        <w:rPr>
          <w:rFonts w:ascii="Abadi" w:eastAsia="Times New Roman" w:hAnsi="Abadi" w:cs="Arial"/>
        </w:rPr>
        <w:t xml:space="preserve">No application for acquisition of immovable property by non-citizens, companies, </w:t>
      </w:r>
      <w:proofErr w:type="spellStart"/>
      <w:r w:rsidRPr="00C63D1E">
        <w:rPr>
          <w:rFonts w:ascii="Abadi" w:eastAsia="Times New Roman" w:hAnsi="Abadi" w:cs="Arial"/>
        </w:rPr>
        <w:t>société</w:t>
      </w:r>
      <w:proofErr w:type="spellEnd"/>
      <w:r w:rsidRPr="00C63D1E">
        <w:rPr>
          <w:rFonts w:ascii="Abadi" w:eastAsia="Times New Roman" w:hAnsi="Abadi" w:cs="Arial"/>
        </w:rPr>
        <w:t xml:space="preserve">, trusts, foundation or limited partnership will be considered by the Economic Development Board if the above documents have not been duly submitted to the EDB. </w:t>
      </w:r>
    </w:p>
    <w:p w14:paraId="1EF30F11" w14:textId="26FB119C" w:rsidR="00561AA8" w:rsidRPr="00C63D1E" w:rsidRDefault="00561AA8" w:rsidP="005E05AB">
      <w:pPr>
        <w:pStyle w:val="BodyText"/>
        <w:numPr>
          <w:ilvl w:val="0"/>
          <w:numId w:val="36"/>
        </w:numPr>
        <w:autoSpaceDE w:val="0"/>
        <w:autoSpaceDN w:val="0"/>
        <w:adjustRightInd w:val="0"/>
        <w:spacing w:before="120"/>
        <w:jc w:val="both"/>
        <w:rPr>
          <w:rFonts w:ascii="Abadi" w:eastAsia="Times New Roman" w:hAnsi="Abadi" w:cs="Arial"/>
          <w:sz w:val="20"/>
          <w:szCs w:val="20"/>
        </w:rPr>
      </w:pPr>
      <w:r w:rsidRPr="00C63D1E">
        <w:rPr>
          <w:rFonts w:ascii="Abadi" w:eastAsia="Times New Roman" w:hAnsi="Abadi" w:cs="Arial"/>
          <w:sz w:val="20"/>
          <w:szCs w:val="20"/>
        </w:rPr>
        <w:t xml:space="preserve">The application should be accompanied by a non-refundable processing fee of </w:t>
      </w:r>
      <w:r w:rsidR="00B23D83" w:rsidRPr="00C63D1E">
        <w:rPr>
          <w:rFonts w:ascii="Abadi" w:eastAsia="Times New Roman" w:hAnsi="Abadi" w:cs="Arial"/>
          <w:sz w:val="20"/>
          <w:szCs w:val="20"/>
        </w:rPr>
        <w:t>2</w:t>
      </w:r>
      <w:r w:rsidRPr="00C63D1E">
        <w:rPr>
          <w:rFonts w:ascii="Abadi" w:eastAsia="Times New Roman" w:hAnsi="Abadi" w:cs="Arial"/>
          <w:sz w:val="20"/>
          <w:szCs w:val="20"/>
        </w:rPr>
        <w:t xml:space="preserve">0,000 rupees payable through cheque by the smart city company or smart city developer and drawn to the order of the Economic Development Board. </w:t>
      </w:r>
    </w:p>
    <w:p w14:paraId="6164C96F" w14:textId="0E06FFAD" w:rsidR="009E7676" w:rsidRPr="00C63D1E" w:rsidRDefault="00561AA8" w:rsidP="005E05AB">
      <w:pPr>
        <w:pStyle w:val="BodyText"/>
        <w:numPr>
          <w:ilvl w:val="0"/>
          <w:numId w:val="36"/>
        </w:numPr>
        <w:autoSpaceDE w:val="0"/>
        <w:autoSpaceDN w:val="0"/>
        <w:adjustRightInd w:val="0"/>
        <w:spacing w:before="120"/>
        <w:jc w:val="both"/>
        <w:rPr>
          <w:rFonts w:ascii="Abadi" w:eastAsia="Times New Roman" w:hAnsi="Abadi" w:cs="Arial"/>
          <w:sz w:val="20"/>
          <w:szCs w:val="20"/>
        </w:rPr>
      </w:pPr>
      <w:r w:rsidRPr="00C63D1E">
        <w:rPr>
          <w:rFonts w:ascii="Abadi" w:eastAsia="Times New Roman" w:hAnsi="Abadi" w:cs="Arial"/>
          <w:sz w:val="20"/>
          <w:szCs w:val="20"/>
        </w:rPr>
        <w:t>An application shall be considered as ready for processing by the EDB at the date by which all the information, particulars and documents have been duly submitted and considered as complete by EDB.</w:t>
      </w:r>
      <w:bookmarkStart w:id="17" w:name="_Toc423033365"/>
      <w:bookmarkStart w:id="18" w:name="_Toc423095615"/>
      <w:bookmarkStart w:id="19" w:name="_Toc423096354"/>
    </w:p>
    <w:p w14:paraId="60E32F81" w14:textId="77777777" w:rsidR="00B62E48" w:rsidRPr="0053776B" w:rsidRDefault="00B62E48" w:rsidP="00B62E48">
      <w:pPr>
        <w:pStyle w:val="BodyText"/>
        <w:autoSpaceDE w:val="0"/>
        <w:autoSpaceDN w:val="0"/>
        <w:adjustRightInd w:val="0"/>
        <w:spacing w:before="120"/>
        <w:jc w:val="both"/>
        <w:rPr>
          <w:rFonts w:ascii="Arial" w:eastAsia="Times New Roman" w:hAnsi="Arial" w:cs="Arial"/>
          <w:sz w:val="20"/>
          <w:szCs w:val="20"/>
        </w:rPr>
      </w:pPr>
    </w:p>
    <w:p w14:paraId="2E8F64B9" w14:textId="41B7E3A1" w:rsidR="009E7676" w:rsidRPr="00AD18CF" w:rsidRDefault="009E7676" w:rsidP="00075F0F">
      <w:pPr>
        <w:pStyle w:val="Heading3"/>
        <w:numPr>
          <w:ilvl w:val="1"/>
          <w:numId w:val="45"/>
        </w:numPr>
        <w:pBdr>
          <w:top w:val="single" w:sz="6" w:space="5" w:color="83992A" w:themeColor="accent1"/>
        </w:pBdr>
        <w:rPr>
          <w:b/>
          <w:color w:val="61721F" w:themeColor="accent1" w:themeShade="BF"/>
        </w:rPr>
      </w:pPr>
      <w:bookmarkStart w:id="20" w:name="_Toc73131442"/>
      <w:r w:rsidRPr="008C5011">
        <w:rPr>
          <w:b/>
          <w:color w:val="61721F" w:themeColor="accent1" w:themeShade="BF"/>
        </w:rPr>
        <w:t>SCREENING OF APPLICATION</w:t>
      </w:r>
      <w:bookmarkEnd w:id="20"/>
    </w:p>
    <w:p w14:paraId="49F9D58B" w14:textId="77777777" w:rsidR="008C5011" w:rsidRPr="008C5011" w:rsidRDefault="008C5011" w:rsidP="008C5011">
      <w:pPr>
        <w:spacing w:before="0" w:after="0" w:line="240" w:lineRule="auto"/>
        <w:contextualSpacing/>
        <w:jc w:val="both"/>
        <w:rPr>
          <w:b/>
          <w:caps/>
          <w:color w:val="61721F" w:themeColor="accent1" w:themeShade="BF"/>
          <w:spacing w:val="15"/>
        </w:rPr>
      </w:pPr>
    </w:p>
    <w:bookmarkEnd w:id="17"/>
    <w:bookmarkEnd w:id="18"/>
    <w:bookmarkEnd w:id="19"/>
    <w:p w14:paraId="51864BA6" w14:textId="258E8064" w:rsidR="00B23D83" w:rsidRPr="00C63D1E" w:rsidRDefault="00B23D83" w:rsidP="008C5011">
      <w:pPr>
        <w:pStyle w:val="BodyText"/>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The </w:t>
      </w:r>
      <w:r w:rsidR="008C5011" w:rsidRPr="00C63D1E">
        <w:rPr>
          <w:rFonts w:ascii="Abadi" w:eastAsia="Times New Roman" w:hAnsi="Abadi" w:cs="Arial"/>
          <w:sz w:val="20"/>
          <w:szCs w:val="20"/>
        </w:rPr>
        <w:t>PDS Company for Senior Living</w:t>
      </w:r>
      <w:r w:rsidRPr="00C63D1E">
        <w:rPr>
          <w:rFonts w:ascii="Abadi" w:eastAsia="Times New Roman" w:hAnsi="Abadi" w:cs="Arial"/>
          <w:sz w:val="20"/>
          <w:szCs w:val="20"/>
        </w:rPr>
        <w:t xml:space="preserve"> shall carry out due diligence exercise through a reputable bank for all applications received prior to submission of </w:t>
      </w:r>
      <w:r w:rsidRPr="00C63D1E">
        <w:rPr>
          <w:rFonts w:ascii="Abadi" w:eastAsia="Times New Roman" w:hAnsi="Abadi" w:cs="Arial"/>
          <w:sz w:val="20"/>
          <w:szCs w:val="20"/>
        </w:rPr>
        <w:t xml:space="preserve">same to the Economic Development Board. </w:t>
      </w:r>
      <w:r w:rsidR="00710A9A" w:rsidRPr="00C63D1E">
        <w:rPr>
          <w:rFonts w:ascii="Abadi" w:eastAsia="Times New Roman" w:hAnsi="Abadi" w:cs="Arial"/>
          <w:sz w:val="20"/>
          <w:szCs w:val="20"/>
        </w:rPr>
        <w:t>The PDS Company for Senior Living’s</w:t>
      </w:r>
      <w:r w:rsidRPr="00C63D1E">
        <w:rPr>
          <w:rFonts w:ascii="Abadi" w:eastAsia="Times New Roman" w:hAnsi="Abadi" w:cs="Arial"/>
          <w:sz w:val="20"/>
          <w:szCs w:val="20"/>
        </w:rPr>
        <w:t xml:space="preserve"> bank shall carry a Know Your Client (KYC) exercise and open a bank account for the client called the “Escrow Account”.</w:t>
      </w:r>
    </w:p>
    <w:p w14:paraId="28110057" w14:textId="593860CA" w:rsidR="00B23D83" w:rsidRPr="00C63D1E" w:rsidRDefault="00B23D83" w:rsidP="008C5011">
      <w:pPr>
        <w:pStyle w:val="BodyText"/>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The </w:t>
      </w:r>
      <w:r w:rsidR="00710A9A" w:rsidRPr="00C63D1E">
        <w:rPr>
          <w:rFonts w:ascii="Abadi" w:eastAsia="Times New Roman" w:hAnsi="Abadi" w:cs="Arial"/>
          <w:sz w:val="20"/>
          <w:szCs w:val="20"/>
        </w:rPr>
        <w:t>PDS Company for Senior Living</w:t>
      </w:r>
      <w:r w:rsidRPr="00C63D1E">
        <w:rPr>
          <w:rFonts w:ascii="Abadi" w:eastAsia="Times New Roman" w:hAnsi="Abadi" w:cs="Arial"/>
          <w:sz w:val="20"/>
          <w:szCs w:val="20"/>
        </w:rPr>
        <w:t xml:space="preserve"> may sign the “</w:t>
      </w:r>
      <w:proofErr w:type="spellStart"/>
      <w:r w:rsidRPr="00C63D1E">
        <w:rPr>
          <w:rFonts w:ascii="Abadi" w:eastAsia="Times New Roman" w:hAnsi="Abadi" w:cs="Arial"/>
          <w:sz w:val="20"/>
          <w:szCs w:val="20"/>
        </w:rPr>
        <w:t>Contrat</w:t>
      </w:r>
      <w:proofErr w:type="spellEnd"/>
      <w:r w:rsidRPr="00C63D1E">
        <w:rPr>
          <w:rFonts w:ascii="Abadi" w:eastAsia="Times New Roman" w:hAnsi="Abadi" w:cs="Arial"/>
          <w:sz w:val="20"/>
          <w:szCs w:val="20"/>
        </w:rPr>
        <w:t xml:space="preserve"> de </w:t>
      </w:r>
      <w:proofErr w:type="spellStart"/>
      <w:r w:rsidRPr="00C63D1E">
        <w:rPr>
          <w:rFonts w:ascii="Abadi" w:eastAsia="Times New Roman" w:hAnsi="Abadi" w:cs="Arial"/>
          <w:sz w:val="20"/>
          <w:szCs w:val="20"/>
        </w:rPr>
        <w:t>réservation</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préliminaire</w:t>
      </w:r>
      <w:proofErr w:type="spellEnd"/>
      <w:r w:rsidRPr="00C63D1E">
        <w:rPr>
          <w:rFonts w:ascii="Abadi" w:eastAsia="Times New Roman" w:hAnsi="Abadi" w:cs="Arial"/>
          <w:sz w:val="20"/>
          <w:szCs w:val="20"/>
        </w:rPr>
        <w:t xml:space="preserve"> a </w:t>
      </w:r>
      <w:proofErr w:type="spellStart"/>
      <w:r w:rsidRPr="00C63D1E">
        <w:rPr>
          <w:rFonts w:ascii="Abadi" w:eastAsia="Times New Roman" w:hAnsi="Abadi" w:cs="Arial"/>
          <w:sz w:val="20"/>
          <w:szCs w:val="20"/>
        </w:rPr>
        <w:t>une</w:t>
      </w:r>
      <w:proofErr w:type="spellEnd"/>
      <w:r w:rsidRPr="00C63D1E">
        <w:rPr>
          <w:rFonts w:ascii="Abadi" w:eastAsia="Times New Roman" w:hAnsi="Abadi" w:cs="Arial"/>
          <w:sz w:val="20"/>
          <w:szCs w:val="20"/>
        </w:rPr>
        <w:t xml:space="preserve"> vente </w:t>
      </w:r>
      <w:proofErr w:type="spellStart"/>
      <w:r w:rsidRPr="00C63D1E">
        <w:rPr>
          <w:rFonts w:ascii="Abadi" w:eastAsia="Times New Roman" w:hAnsi="Abadi" w:cs="Arial"/>
          <w:sz w:val="20"/>
          <w:szCs w:val="20"/>
        </w:rPr>
        <w:t>en</w:t>
      </w:r>
      <w:proofErr w:type="spellEnd"/>
      <w:r w:rsidRPr="00C63D1E">
        <w:rPr>
          <w:rFonts w:ascii="Abadi" w:eastAsia="Times New Roman" w:hAnsi="Abadi" w:cs="Arial"/>
          <w:sz w:val="20"/>
          <w:szCs w:val="20"/>
        </w:rPr>
        <w:t xml:space="preserve"> </w:t>
      </w:r>
      <w:proofErr w:type="spellStart"/>
      <w:r w:rsidRPr="00C63D1E">
        <w:rPr>
          <w:rFonts w:ascii="Abadi" w:eastAsia="Times New Roman" w:hAnsi="Abadi" w:cs="Arial"/>
          <w:sz w:val="20"/>
          <w:szCs w:val="20"/>
        </w:rPr>
        <w:t>etat</w:t>
      </w:r>
      <w:proofErr w:type="spellEnd"/>
      <w:r w:rsidRPr="00C63D1E">
        <w:rPr>
          <w:rFonts w:ascii="Abadi" w:eastAsia="Times New Roman" w:hAnsi="Abadi" w:cs="Arial"/>
          <w:sz w:val="20"/>
          <w:szCs w:val="20"/>
        </w:rPr>
        <w:t xml:space="preserve"> future </w:t>
      </w:r>
      <w:proofErr w:type="spellStart"/>
      <w:r w:rsidRPr="00C63D1E">
        <w:rPr>
          <w:rFonts w:ascii="Abadi" w:eastAsia="Times New Roman" w:hAnsi="Abadi" w:cs="Arial"/>
          <w:sz w:val="20"/>
          <w:szCs w:val="20"/>
        </w:rPr>
        <w:t>d’achevement</w:t>
      </w:r>
      <w:proofErr w:type="spellEnd"/>
      <w:r w:rsidRPr="00C63D1E">
        <w:rPr>
          <w:rFonts w:ascii="Abadi" w:eastAsia="Times New Roman" w:hAnsi="Abadi" w:cs="Arial"/>
          <w:sz w:val="20"/>
          <w:szCs w:val="20"/>
        </w:rPr>
        <w:t>” for the plot. The potential buyer shall deposit at most 25% of the amount of investment in the acquisition of the property in the bank</w:t>
      </w:r>
      <w:r w:rsidR="00710A9A" w:rsidRPr="00C63D1E">
        <w:rPr>
          <w:rFonts w:ascii="Abadi" w:eastAsia="Times New Roman" w:hAnsi="Abadi" w:cs="Arial"/>
          <w:sz w:val="20"/>
          <w:szCs w:val="20"/>
        </w:rPr>
        <w:t>.</w:t>
      </w:r>
    </w:p>
    <w:p w14:paraId="62E60BBC" w14:textId="77777777" w:rsidR="00710A9A" w:rsidRDefault="00710A9A" w:rsidP="008C5011">
      <w:pPr>
        <w:pStyle w:val="BodyText"/>
        <w:tabs>
          <w:tab w:val="left" w:pos="2260"/>
        </w:tabs>
        <w:autoSpaceDE w:val="0"/>
        <w:autoSpaceDN w:val="0"/>
        <w:adjustRightInd w:val="0"/>
        <w:spacing w:before="120" w:after="0" w:line="240" w:lineRule="auto"/>
        <w:jc w:val="both"/>
        <w:rPr>
          <w:rFonts w:ascii="Univers" w:hAnsi="Univers" w:cs="Arial"/>
          <w:lang w:val="en-GB"/>
        </w:rPr>
      </w:pPr>
    </w:p>
    <w:p w14:paraId="491B316E" w14:textId="216D4168" w:rsidR="00B23D83" w:rsidRPr="00C627AA" w:rsidRDefault="00B23D83" w:rsidP="00075F0F">
      <w:pPr>
        <w:pStyle w:val="Heading3"/>
        <w:numPr>
          <w:ilvl w:val="1"/>
          <w:numId w:val="45"/>
        </w:numPr>
        <w:pBdr>
          <w:top w:val="single" w:sz="6" w:space="5" w:color="83992A" w:themeColor="accent1"/>
        </w:pBdr>
        <w:rPr>
          <w:b/>
          <w:color w:val="61721F" w:themeColor="accent1" w:themeShade="BF"/>
        </w:rPr>
      </w:pPr>
      <w:bookmarkStart w:id="21" w:name="_Toc423033366"/>
      <w:bookmarkStart w:id="22" w:name="_Toc423095616"/>
      <w:bookmarkStart w:id="23" w:name="_Toc423096355"/>
      <w:bookmarkStart w:id="24" w:name="_Toc73131443"/>
      <w:r w:rsidRPr="00710A9A">
        <w:rPr>
          <w:b/>
          <w:color w:val="61721F" w:themeColor="accent1" w:themeShade="BF"/>
        </w:rPr>
        <w:t>Documents to be submitted at the time of application</w:t>
      </w:r>
      <w:bookmarkEnd w:id="21"/>
      <w:bookmarkEnd w:id="22"/>
      <w:bookmarkEnd w:id="23"/>
      <w:bookmarkEnd w:id="24"/>
    </w:p>
    <w:p w14:paraId="334414CA" w14:textId="77777777" w:rsidR="00B23D83" w:rsidRPr="00C63D1E" w:rsidRDefault="00B23D83" w:rsidP="003F6561">
      <w:pPr>
        <w:pStyle w:val="BodyText"/>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b/>
          <w:sz w:val="20"/>
          <w:szCs w:val="20"/>
        </w:rPr>
        <w:t>In the case of a non-citizen</w:t>
      </w:r>
      <w:r w:rsidRPr="00C63D1E">
        <w:rPr>
          <w:rFonts w:ascii="Abadi" w:eastAsia="Times New Roman" w:hAnsi="Abadi" w:cs="Arial"/>
          <w:sz w:val="20"/>
          <w:szCs w:val="20"/>
        </w:rPr>
        <w:t>, the following documents must be submitted to the EDB:</w:t>
      </w:r>
    </w:p>
    <w:p w14:paraId="55DE5C54"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duly authenticated copy of first 5 pages of passport</w:t>
      </w:r>
    </w:p>
    <w:p w14:paraId="4E88DF47"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73EA7BAF" w14:textId="77777777" w:rsidR="00B23D83" w:rsidRPr="00C63D1E" w:rsidRDefault="00B23D83" w:rsidP="00B23D83">
      <w:pPr>
        <w:pStyle w:val="BodyText"/>
        <w:tabs>
          <w:tab w:val="left" w:pos="2260"/>
        </w:tabs>
        <w:autoSpaceDE w:val="0"/>
        <w:autoSpaceDN w:val="0"/>
        <w:adjustRightInd w:val="0"/>
        <w:spacing w:before="120"/>
        <w:jc w:val="both"/>
        <w:rPr>
          <w:rFonts w:ascii="Abadi" w:eastAsia="Times New Roman" w:hAnsi="Abadi" w:cs="Arial"/>
          <w:sz w:val="20"/>
          <w:szCs w:val="20"/>
        </w:rPr>
      </w:pPr>
      <w:r w:rsidRPr="00C63D1E">
        <w:rPr>
          <w:rFonts w:ascii="Abadi" w:eastAsia="Times New Roman" w:hAnsi="Abadi" w:cs="Arial"/>
          <w:b/>
          <w:sz w:val="20"/>
          <w:szCs w:val="20"/>
        </w:rPr>
        <w:t>In the case of Company</w:t>
      </w:r>
      <w:r w:rsidRPr="00C63D1E">
        <w:rPr>
          <w:rFonts w:ascii="Abadi" w:eastAsia="Times New Roman" w:hAnsi="Abadi" w:cs="Arial"/>
          <w:sz w:val="20"/>
          <w:szCs w:val="20"/>
        </w:rPr>
        <w:t>:</w:t>
      </w:r>
    </w:p>
    <w:p w14:paraId="0597E110"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certificate of incorporation under the Companies Act 2001 or Certificate of registration evidencing the company is registered as a foreign company as may be the case:</w:t>
      </w:r>
    </w:p>
    <w:p w14:paraId="2EA1D949"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register of shareholders</w:t>
      </w:r>
    </w:p>
    <w:p w14:paraId="1219A162"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duly authenticated copy of first 5 pages of passport of each shareholder</w:t>
      </w:r>
    </w:p>
    <w:p w14:paraId="7C50FA99"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370DADDF" w14:textId="77777777" w:rsidR="00B23D83" w:rsidRPr="00C63D1E" w:rsidRDefault="00B23D83" w:rsidP="00B23D83">
      <w:pPr>
        <w:pStyle w:val="BodyText"/>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b/>
          <w:sz w:val="20"/>
          <w:szCs w:val="20"/>
        </w:rPr>
        <w:t>In the case of Société</w:t>
      </w:r>
      <w:r w:rsidRPr="00C63D1E">
        <w:rPr>
          <w:rFonts w:ascii="Abadi" w:eastAsia="Times New Roman" w:hAnsi="Abadi" w:cs="Arial"/>
          <w:sz w:val="20"/>
          <w:szCs w:val="20"/>
        </w:rPr>
        <w:t>:</w:t>
      </w:r>
    </w:p>
    <w:p w14:paraId="22D423C6"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evidence of the Société   having a file number with the Registrar of Companies and deed of formation deposited with the Registrar of Companies.</w:t>
      </w:r>
    </w:p>
    <w:p w14:paraId="3F6D1BA7"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status of the Société</w:t>
      </w:r>
    </w:p>
    <w:p w14:paraId="57CA9C66"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duly authenticated copy of first 5 pages of passport of each member</w:t>
      </w:r>
    </w:p>
    <w:p w14:paraId="12DEE0E1"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5D62556F" w14:textId="77777777" w:rsidR="00B23D83" w:rsidRPr="00C63D1E" w:rsidRDefault="00B23D83" w:rsidP="00B23D83">
      <w:pPr>
        <w:pStyle w:val="BodyText"/>
        <w:tabs>
          <w:tab w:val="left" w:pos="2260"/>
        </w:tabs>
        <w:autoSpaceDE w:val="0"/>
        <w:autoSpaceDN w:val="0"/>
        <w:adjustRightInd w:val="0"/>
        <w:spacing w:before="120"/>
        <w:jc w:val="both"/>
        <w:rPr>
          <w:rFonts w:ascii="Abadi" w:hAnsi="Abadi" w:cs="Arial"/>
          <w:lang w:val="en-GB"/>
        </w:rPr>
      </w:pPr>
      <w:r w:rsidRPr="00C63D1E">
        <w:rPr>
          <w:rFonts w:ascii="Abadi" w:hAnsi="Abadi" w:cs="Arial"/>
          <w:b/>
          <w:lang w:val="en-GB"/>
        </w:rPr>
        <w:lastRenderedPageBreak/>
        <w:t>In the case of Limited Partnership</w:t>
      </w:r>
      <w:r w:rsidRPr="00C63D1E">
        <w:rPr>
          <w:rFonts w:ascii="Abadi" w:hAnsi="Abadi" w:cs="Arial"/>
          <w:lang w:val="en-GB"/>
        </w:rPr>
        <w:t>:</w:t>
      </w:r>
    </w:p>
    <w:p w14:paraId="20745EBD" w14:textId="77777777" w:rsidR="00B23D83" w:rsidRPr="00C63D1E" w:rsidRDefault="00B23D83"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partnership agreement</w:t>
      </w:r>
    </w:p>
    <w:p w14:paraId="5781C59D" w14:textId="777777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registration certificate of the Limited Partnership by the Registrar of Companies</w:t>
      </w:r>
    </w:p>
    <w:p w14:paraId="28870056" w14:textId="777777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duly authenticated copy of first 5 pages of passport of each limited partner</w:t>
      </w:r>
    </w:p>
    <w:p w14:paraId="5E24B716" w14:textId="777777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4190AAA6" w14:textId="766AF9CC" w:rsidR="00710A9A" w:rsidRPr="00C63D1E" w:rsidRDefault="00710A9A" w:rsidP="00710A9A">
      <w:pPr>
        <w:pStyle w:val="BodyText"/>
        <w:tabs>
          <w:tab w:val="left" w:pos="2260"/>
        </w:tabs>
        <w:autoSpaceDE w:val="0"/>
        <w:autoSpaceDN w:val="0"/>
        <w:adjustRightInd w:val="0"/>
        <w:spacing w:before="120"/>
        <w:jc w:val="both"/>
        <w:rPr>
          <w:rFonts w:ascii="Abadi" w:hAnsi="Abadi" w:cs="Arial"/>
          <w:lang w:val="en-GB"/>
        </w:rPr>
      </w:pPr>
      <w:r w:rsidRPr="00C63D1E">
        <w:rPr>
          <w:rFonts w:ascii="Abadi" w:hAnsi="Abadi" w:cs="Arial"/>
          <w:b/>
          <w:lang w:val="en-GB"/>
        </w:rPr>
        <w:t>In the case of Foundation</w:t>
      </w:r>
      <w:r w:rsidRPr="00C63D1E">
        <w:rPr>
          <w:rFonts w:ascii="Abadi" w:hAnsi="Abadi" w:cs="Arial"/>
          <w:lang w:val="en-GB"/>
        </w:rPr>
        <w:t>:</w:t>
      </w:r>
    </w:p>
    <w:p w14:paraId="65EF6C1B" w14:textId="23CCC5E2"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hAnsi="Abadi" w:cs="Arial"/>
          <w:lang w:val="en-GB"/>
        </w:rPr>
        <w:t xml:space="preserve"> </w:t>
      </w:r>
      <w:r w:rsidRPr="00C63D1E">
        <w:rPr>
          <w:rFonts w:ascii="Abadi" w:eastAsia="Times New Roman" w:hAnsi="Abadi" w:cs="Arial"/>
          <w:sz w:val="20"/>
          <w:szCs w:val="20"/>
        </w:rPr>
        <w:t xml:space="preserve">the charter of Foundation </w:t>
      </w:r>
    </w:p>
    <w:p w14:paraId="2D1344CA" w14:textId="777777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registration certificate of the Foundation by the Registrar of Companies</w:t>
      </w:r>
    </w:p>
    <w:p w14:paraId="5742D252" w14:textId="506BB2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details of the beneficiary, founder, secretary and   council</w:t>
      </w:r>
    </w:p>
    <w:p w14:paraId="398B84EE" w14:textId="4EAA58C5"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duly authenticated copy of first 5 </w:t>
      </w:r>
      <w:r w:rsidRPr="00C63D1E">
        <w:rPr>
          <w:rFonts w:ascii="Abadi" w:eastAsia="Times New Roman" w:hAnsi="Abadi" w:cs="Arial"/>
          <w:sz w:val="20"/>
          <w:szCs w:val="20"/>
        </w:rPr>
        <w:tab/>
        <w:t>pages of passport of each beneficiary</w:t>
      </w:r>
    </w:p>
    <w:p w14:paraId="387782F1" w14:textId="781C59BA"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5BE72147" w14:textId="77777777" w:rsidR="00710A9A" w:rsidRPr="00C63D1E" w:rsidRDefault="00710A9A" w:rsidP="00710A9A">
      <w:pPr>
        <w:pStyle w:val="BodyText"/>
        <w:tabs>
          <w:tab w:val="left" w:pos="2260"/>
        </w:tabs>
        <w:autoSpaceDE w:val="0"/>
        <w:autoSpaceDN w:val="0"/>
        <w:adjustRightInd w:val="0"/>
        <w:spacing w:before="120"/>
        <w:jc w:val="both"/>
        <w:rPr>
          <w:rFonts w:ascii="Abadi" w:hAnsi="Abadi" w:cs="Arial"/>
          <w:lang w:val="en-GB"/>
        </w:rPr>
      </w:pPr>
      <w:r w:rsidRPr="00C63D1E">
        <w:rPr>
          <w:rFonts w:ascii="Abadi" w:hAnsi="Abadi" w:cs="Arial"/>
          <w:b/>
          <w:lang w:val="en-GB"/>
        </w:rPr>
        <w:t>In the case of Trust</w:t>
      </w:r>
      <w:r w:rsidRPr="00C63D1E">
        <w:rPr>
          <w:rFonts w:ascii="Abadi" w:hAnsi="Abadi" w:cs="Arial"/>
          <w:lang w:val="en-GB"/>
        </w:rPr>
        <w:t>:</w:t>
      </w:r>
    </w:p>
    <w:p w14:paraId="4CF496CE" w14:textId="777777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The trust </w:t>
      </w:r>
      <w:proofErr w:type="gramStart"/>
      <w:r w:rsidRPr="00C63D1E">
        <w:rPr>
          <w:rFonts w:ascii="Abadi" w:eastAsia="Times New Roman" w:hAnsi="Abadi" w:cs="Arial"/>
          <w:sz w:val="20"/>
          <w:szCs w:val="20"/>
        </w:rPr>
        <w:t>deed</w:t>
      </w:r>
      <w:proofErr w:type="gramEnd"/>
    </w:p>
    <w:p w14:paraId="5E4A39E5" w14:textId="777777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Evidence from the Financial </w:t>
      </w:r>
      <w:proofErr w:type="gramStart"/>
      <w:r w:rsidRPr="00C63D1E">
        <w:rPr>
          <w:rFonts w:ascii="Abadi" w:eastAsia="Times New Roman" w:hAnsi="Abadi" w:cs="Arial"/>
          <w:sz w:val="20"/>
          <w:szCs w:val="20"/>
        </w:rPr>
        <w:t>Services  Commission</w:t>
      </w:r>
      <w:proofErr w:type="gramEnd"/>
      <w:r w:rsidRPr="00C63D1E">
        <w:rPr>
          <w:rFonts w:ascii="Abadi" w:eastAsia="Times New Roman" w:hAnsi="Abadi" w:cs="Arial"/>
          <w:sz w:val="20"/>
          <w:szCs w:val="20"/>
        </w:rPr>
        <w:t xml:space="preserve"> that the trustee is a qualified trustee under the Trust Act 2001</w:t>
      </w:r>
    </w:p>
    <w:p w14:paraId="609BF6F5" w14:textId="77777777" w:rsidR="00710A9A" w:rsidRPr="00C63D1E"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Details of the beneficiary, trustee and settlor</w:t>
      </w:r>
    </w:p>
    <w:p w14:paraId="5A5DFD01" w14:textId="2325A375" w:rsidR="00710A9A" w:rsidRDefault="00710A9A" w:rsidP="005E05AB">
      <w:pPr>
        <w:pStyle w:val="BodyText"/>
        <w:numPr>
          <w:ilvl w:val="0"/>
          <w:numId w:val="22"/>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75FC93B8" w14:textId="08185B10"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296A18A1" w14:textId="106A5AAC"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B2524FE" w14:textId="3948248C"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1FAEEF38" w14:textId="68DBE0BC"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6497F03" w14:textId="77389599"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0D014C7" w14:textId="079507A4"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7B52DD84" w14:textId="350F14C5"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1E9C8F7A" w14:textId="705256C5"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21D7A653" w14:textId="741AAA8A"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3E0D65EC" w14:textId="60A61118"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DEAAE9E" w14:textId="46320A26"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08BC349E" w14:textId="133B2AAF"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FE132CB" w14:textId="2AF3F8FE"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6CA403C2" w14:textId="797DD2B3"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6B09155C" w14:textId="6A14B41D"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374E9D6B" w14:textId="77569E88"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10CC7C2" w14:textId="31D20BF2"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622107FF" w14:textId="4CC9CB34"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7485660D" w14:textId="3013DC69"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04FB75B3" w14:textId="42744445"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016BD8EC" w14:textId="23A3DF31"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60B62936" w14:textId="0E4B1A1A"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72350FF0" w14:textId="6F3EAFBD"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2E8D4DA" w14:textId="4CCA42E3"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0674EA5E" w14:textId="4A93E5FD"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26EB084F" w14:textId="3F07C846"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289AF2C2" w14:textId="33B8CE16"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53C6FA68" w14:textId="3BB39AE9"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744A9E94" w14:textId="16529B4A" w:rsid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7A1C190E" w14:textId="77777777" w:rsidR="00C63D1E" w:rsidRPr="00C63D1E" w:rsidRDefault="00C63D1E" w:rsidP="00C63D1E">
      <w:pPr>
        <w:pStyle w:val="BodyText"/>
        <w:tabs>
          <w:tab w:val="left" w:pos="2260"/>
        </w:tabs>
        <w:autoSpaceDE w:val="0"/>
        <w:autoSpaceDN w:val="0"/>
        <w:adjustRightInd w:val="0"/>
        <w:spacing w:before="120" w:after="0" w:line="240" w:lineRule="auto"/>
        <w:ind w:left="720"/>
        <w:jc w:val="both"/>
        <w:rPr>
          <w:rFonts w:ascii="Abadi" w:eastAsia="Times New Roman" w:hAnsi="Abadi" w:cs="Arial"/>
          <w:sz w:val="20"/>
          <w:szCs w:val="20"/>
        </w:rPr>
      </w:pPr>
    </w:p>
    <w:p w14:paraId="450B54F6" w14:textId="03948048" w:rsidR="00D109CE" w:rsidRDefault="00D109CE" w:rsidP="008B2FBD">
      <w:pPr>
        <w:pStyle w:val="Heading1"/>
        <w:spacing w:before="0" w:after="240"/>
        <w:rPr>
          <w:rFonts w:ascii="Univers" w:hAnsi="Univers"/>
          <w:b/>
        </w:rPr>
      </w:pPr>
      <w:bookmarkStart w:id="25" w:name="_Hlk13581863"/>
      <w:bookmarkStart w:id="26" w:name="_Toc73131444"/>
      <w:r>
        <w:rPr>
          <w:rFonts w:ascii="Arial Nova Cond" w:hAnsi="Arial Nova Cond"/>
          <w:b/>
          <w:sz w:val="40"/>
        </w:rPr>
        <w:lastRenderedPageBreak/>
        <w:t>part</w:t>
      </w:r>
      <w:r w:rsidR="00C63D1E">
        <w:rPr>
          <w:rFonts w:ascii="Arial Nova Cond" w:hAnsi="Arial Nova Cond"/>
          <w:b/>
          <w:sz w:val="40"/>
        </w:rPr>
        <w:t xml:space="preserve"> </w:t>
      </w:r>
      <w:r w:rsidR="00075F0F">
        <w:rPr>
          <w:rFonts w:ascii="Arial Nova Cond" w:hAnsi="Arial Nova Cond"/>
          <w:b/>
          <w:sz w:val="40"/>
        </w:rPr>
        <w:t>2</w:t>
      </w:r>
      <w:r w:rsidR="00C63D1E">
        <w:rPr>
          <w:rFonts w:ascii="Arial Nova Cond" w:hAnsi="Arial Nova Cond"/>
          <w:b/>
          <w:sz w:val="40"/>
        </w:rPr>
        <w:t>:</w:t>
      </w:r>
      <w:r>
        <w:rPr>
          <w:rFonts w:ascii="Arial Nova Cond" w:hAnsi="Arial Nova Cond"/>
          <w:b/>
          <w:sz w:val="40"/>
        </w:rPr>
        <w:t xml:space="preserve"> rent</w:t>
      </w:r>
      <w:r w:rsidR="00306934">
        <w:rPr>
          <w:rFonts w:ascii="Arial Nova Cond" w:hAnsi="Arial Nova Cond"/>
          <w:b/>
          <w:sz w:val="40"/>
        </w:rPr>
        <w:t xml:space="preserve"> </w:t>
      </w:r>
      <w:r w:rsidR="008B2FBD">
        <w:rPr>
          <w:rFonts w:ascii="Arial Nova Cond" w:hAnsi="Arial Nova Cond"/>
          <w:b/>
          <w:sz w:val="40"/>
        </w:rPr>
        <w:t xml:space="preserve">&amp; </w:t>
      </w:r>
      <w:r w:rsidR="000756E7">
        <w:rPr>
          <w:rFonts w:ascii="Arial Nova Cond" w:hAnsi="Arial Nova Cond"/>
          <w:b/>
          <w:sz w:val="40"/>
        </w:rPr>
        <w:t>Leases</w:t>
      </w:r>
      <w:r w:rsidR="00C63D1E">
        <w:rPr>
          <w:rFonts w:ascii="Arial Nova Cond" w:hAnsi="Arial Nova Cond"/>
          <w:b/>
          <w:sz w:val="40"/>
        </w:rPr>
        <w:t xml:space="preserve"> </w:t>
      </w:r>
      <w:r>
        <w:rPr>
          <w:rFonts w:ascii="Arial Nova Cond" w:hAnsi="Arial Nova Cond"/>
          <w:b/>
          <w:sz w:val="40"/>
        </w:rPr>
        <w:t>of residential unit</w:t>
      </w:r>
      <w:bookmarkEnd w:id="26"/>
      <w:r w:rsidRPr="009E3F76">
        <w:rPr>
          <w:rFonts w:ascii="Arial Nova Cond" w:hAnsi="Arial Nova Cond"/>
          <w:b/>
          <w:sz w:val="40"/>
        </w:rPr>
        <w:t xml:space="preserve"> </w:t>
      </w:r>
    </w:p>
    <w:p w14:paraId="78E0DE56" w14:textId="2548A87B" w:rsidR="00902223" w:rsidRPr="00C627AA" w:rsidRDefault="00C63D1E" w:rsidP="00075F0F">
      <w:pPr>
        <w:pStyle w:val="Heading3"/>
        <w:numPr>
          <w:ilvl w:val="1"/>
          <w:numId w:val="46"/>
        </w:numPr>
        <w:pBdr>
          <w:top w:val="single" w:sz="6" w:space="5" w:color="83992A" w:themeColor="accent1"/>
        </w:pBdr>
        <w:rPr>
          <w:b/>
          <w:color w:val="61721F" w:themeColor="accent1" w:themeShade="BF"/>
        </w:rPr>
      </w:pPr>
      <w:bookmarkStart w:id="27" w:name="_Toc73131445"/>
      <w:bookmarkEnd w:id="25"/>
      <w:r>
        <w:rPr>
          <w:b/>
          <w:color w:val="61721F" w:themeColor="accent1" w:themeShade="BF"/>
        </w:rPr>
        <w:t>Rental of residential unit</w:t>
      </w:r>
      <w:bookmarkEnd w:id="27"/>
      <w:r>
        <w:rPr>
          <w:b/>
          <w:color w:val="61721F" w:themeColor="accent1" w:themeShade="BF"/>
        </w:rPr>
        <w:t xml:space="preserve"> </w:t>
      </w:r>
    </w:p>
    <w:p w14:paraId="54F6D882" w14:textId="72415444" w:rsidR="00022853" w:rsidRPr="00C63D1E" w:rsidRDefault="002E3A1E" w:rsidP="00C63D1E">
      <w:pPr>
        <w:pStyle w:val="BodyText"/>
        <w:numPr>
          <w:ilvl w:val="0"/>
          <w:numId w:val="25"/>
        </w:numPr>
        <w:tabs>
          <w:tab w:val="left" w:pos="540"/>
        </w:tabs>
        <w:autoSpaceDE w:val="0"/>
        <w:autoSpaceDN w:val="0"/>
        <w:adjustRightInd w:val="0"/>
        <w:spacing w:before="120"/>
        <w:jc w:val="both"/>
        <w:rPr>
          <w:rFonts w:ascii="Abadi" w:eastAsia="Times New Roman" w:hAnsi="Abadi" w:cs="Arial"/>
          <w:sz w:val="20"/>
          <w:szCs w:val="20"/>
        </w:rPr>
      </w:pPr>
      <w:r w:rsidRPr="00C63D1E">
        <w:rPr>
          <w:rFonts w:ascii="Abadi" w:eastAsia="Times New Roman" w:hAnsi="Abadi" w:cs="Arial"/>
          <w:sz w:val="20"/>
          <w:szCs w:val="20"/>
        </w:rPr>
        <w:t>The owner of a residential property under the PDS for Senior Living may offer the property for letting</w:t>
      </w:r>
      <w:r w:rsidR="00022853" w:rsidRPr="00C63D1E">
        <w:rPr>
          <w:rFonts w:ascii="Abadi" w:eastAsia="Times New Roman" w:hAnsi="Abadi" w:cs="Arial"/>
          <w:sz w:val="20"/>
          <w:szCs w:val="20"/>
        </w:rPr>
        <w:t xml:space="preserve"> to only retired persons through the following:</w:t>
      </w:r>
    </w:p>
    <w:p w14:paraId="467B307F" w14:textId="6870AAA1" w:rsidR="00022853" w:rsidRPr="00C63D1E" w:rsidRDefault="00022853" w:rsidP="005E05AB">
      <w:pPr>
        <w:pStyle w:val="BodyText"/>
        <w:numPr>
          <w:ilvl w:val="0"/>
          <w:numId w:val="23"/>
        </w:numPr>
        <w:tabs>
          <w:tab w:val="left" w:pos="54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The PDS Company for Senior Living</w:t>
      </w:r>
    </w:p>
    <w:p w14:paraId="454EC219" w14:textId="19E6E361" w:rsidR="00022853" w:rsidRPr="00C63D1E" w:rsidRDefault="00022853" w:rsidP="005E05AB">
      <w:pPr>
        <w:pStyle w:val="BodyText"/>
        <w:numPr>
          <w:ilvl w:val="0"/>
          <w:numId w:val="23"/>
        </w:numPr>
        <w:tabs>
          <w:tab w:val="left" w:pos="54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A Provider of </w:t>
      </w:r>
      <w:r w:rsidR="00E15A04" w:rsidRPr="00C63D1E">
        <w:rPr>
          <w:rFonts w:ascii="Abadi" w:eastAsia="Times New Roman" w:hAnsi="Abadi" w:cs="Arial"/>
          <w:sz w:val="20"/>
          <w:szCs w:val="20"/>
        </w:rPr>
        <w:t>p</w:t>
      </w:r>
      <w:r w:rsidRPr="00C63D1E">
        <w:rPr>
          <w:rFonts w:ascii="Abadi" w:eastAsia="Times New Roman" w:hAnsi="Abadi" w:cs="Arial"/>
          <w:sz w:val="20"/>
          <w:szCs w:val="20"/>
        </w:rPr>
        <w:t>roperty management services, designated by the PDS Company</w:t>
      </w:r>
    </w:p>
    <w:p w14:paraId="4480CD38" w14:textId="792724A5" w:rsidR="00E30C80" w:rsidRPr="00C63D1E" w:rsidRDefault="00E30C80" w:rsidP="00FF0E4A">
      <w:pPr>
        <w:pStyle w:val="BodyText"/>
        <w:tabs>
          <w:tab w:val="left" w:pos="540"/>
        </w:tabs>
        <w:autoSpaceDE w:val="0"/>
        <w:autoSpaceDN w:val="0"/>
        <w:adjustRightInd w:val="0"/>
        <w:spacing w:before="120" w:after="0" w:line="240" w:lineRule="auto"/>
        <w:jc w:val="both"/>
        <w:rPr>
          <w:rFonts w:ascii="Abadi" w:eastAsia="Times New Roman" w:hAnsi="Abadi" w:cs="Arial"/>
          <w:sz w:val="20"/>
          <w:szCs w:val="20"/>
        </w:rPr>
      </w:pPr>
    </w:p>
    <w:p w14:paraId="6DB5CD9E" w14:textId="2F1448EB" w:rsidR="001B2339" w:rsidRPr="00C63D1E" w:rsidRDefault="001B2339" w:rsidP="00C63D1E">
      <w:pPr>
        <w:pStyle w:val="BodyText"/>
        <w:numPr>
          <w:ilvl w:val="0"/>
          <w:numId w:val="25"/>
        </w:numPr>
        <w:tabs>
          <w:tab w:val="left" w:pos="540"/>
        </w:tabs>
        <w:autoSpaceDE w:val="0"/>
        <w:autoSpaceDN w:val="0"/>
        <w:adjustRightInd w:val="0"/>
        <w:spacing w:before="120"/>
        <w:jc w:val="both"/>
        <w:rPr>
          <w:rFonts w:ascii="Abadi" w:eastAsia="Times New Roman" w:hAnsi="Abadi" w:cs="Arial"/>
          <w:sz w:val="20"/>
          <w:szCs w:val="20"/>
        </w:rPr>
      </w:pPr>
      <w:r w:rsidRPr="00C63D1E">
        <w:rPr>
          <w:rFonts w:ascii="Abadi" w:eastAsia="Times New Roman" w:hAnsi="Abadi" w:cs="Arial"/>
          <w:sz w:val="20"/>
          <w:szCs w:val="20"/>
        </w:rPr>
        <w:t xml:space="preserve">An eligible retired </w:t>
      </w:r>
      <w:r w:rsidR="00E55808" w:rsidRPr="00C63D1E">
        <w:rPr>
          <w:rFonts w:ascii="Abadi" w:eastAsia="Times New Roman" w:hAnsi="Abadi" w:cs="Arial"/>
          <w:sz w:val="20"/>
          <w:szCs w:val="20"/>
        </w:rPr>
        <w:t>non-</w:t>
      </w:r>
      <w:r w:rsidRPr="00C63D1E">
        <w:rPr>
          <w:rFonts w:ascii="Abadi" w:eastAsia="Times New Roman" w:hAnsi="Abadi" w:cs="Arial"/>
          <w:sz w:val="20"/>
          <w:szCs w:val="20"/>
        </w:rPr>
        <w:t>citizen</w:t>
      </w:r>
      <w:r w:rsidR="00E55808" w:rsidRPr="00C63D1E">
        <w:rPr>
          <w:rFonts w:ascii="Abadi" w:eastAsia="Times New Roman" w:hAnsi="Abadi" w:cs="Arial"/>
          <w:sz w:val="20"/>
          <w:szCs w:val="20"/>
        </w:rPr>
        <w:t xml:space="preserve"> </w:t>
      </w:r>
      <w:r w:rsidRPr="00C63D1E">
        <w:rPr>
          <w:rFonts w:ascii="Abadi" w:eastAsia="Times New Roman" w:hAnsi="Abadi" w:cs="Arial"/>
          <w:sz w:val="20"/>
          <w:szCs w:val="20"/>
        </w:rPr>
        <w:t xml:space="preserve">wishing to rent or lease a residential unit under the PDS for Senior Living shall </w:t>
      </w:r>
      <w:proofErr w:type="gramStart"/>
      <w:r w:rsidRPr="00C63D1E">
        <w:rPr>
          <w:rFonts w:ascii="Abadi" w:eastAsia="Times New Roman" w:hAnsi="Abadi" w:cs="Arial"/>
          <w:sz w:val="20"/>
          <w:szCs w:val="20"/>
        </w:rPr>
        <w:t>submit an application</w:t>
      </w:r>
      <w:proofErr w:type="gramEnd"/>
      <w:r w:rsidRPr="00C63D1E">
        <w:rPr>
          <w:rFonts w:ascii="Abadi" w:eastAsia="Times New Roman" w:hAnsi="Abadi" w:cs="Arial"/>
          <w:sz w:val="20"/>
          <w:szCs w:val="20"/>
        </w:rPr>
        <w:t xml:space="preserve"> to the Economic Development Board together with the following documents:</w:t>
      </w:r>
    </w:p>
    <w:p w14:paraId="495EB6ED" w14:textId="4D5C1555" w:rsidR="00E55808" w:rsidRPr="00C63D1E" w:rsidRDefault="004956C3" w:rsidP="005E05AB">
      <w:pPr>
        <w:pStyle w:val="BodyText"/>
        <w:numPr>
          <w:ilvl w:val="0"/>
          <w:numId w:val="24"/>
        </w:numPr>
        <w:tabs>
          <w:tab w:val="left" w:pos="54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 xml:space="preserve">A non-refundable processing fee of MUR 20,000 </w:t>
      </w:r>
      <w:r w:rsidR="009C50E4" w:rsidRPr="00C63D1E">
        <w:rPr>
          <w:rFonts w:ascii="Abadi" w:eastAsia="Times New Roman" w:hAnsi="Abadi" w:cs="Arial"/>
          <w:sz w:val="20"/>
          <w:szCs w:val="20"/>
        </w:rPr>
        <w:t>payable through cheque by the PDS Company for Senior Living and drawn to the order of the Economic Development Board</w:t>
      </w:r>
    </w:p>
    <w:p w14:paraId="7515C07A" w14:textId="03406188" w:rsidR="009C50E4" w:rsidRPr="00C63D1E" w:rsidRDefault="00BE70A2" w:rsidP="005E05AB">
      <w:pPr>
        <w:pStyle w:val="BodyText"/>
        <w:numPr>
          <w:ilvl w:val="0"/>
          <w:numId w:val="24"/>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w:t>
      </w:r>
      <w:r w:rsidR="009C50E4" w:rsidRPr="00C63D1E">
        <w:rPr>
          <w:rFonts w:ascii="Abadi" w:eastAsia="Times New Roman" w:hAnsi="Abadi" w:cs="Arial"/>
          <w:sz w:val="20"/>
          <w:szCs w:val="20"/>
        </w:rPr>
        <w:t>uly authenticated copy of first 5 pages of passport</w:t>
      </w:r>
    </w:p>
    <w:p w14:paraId="537D711C" w14:textId="0C0B76A9" w:rsidR="00BE70A2" w:rsidRPr="00C63D1E" w:rsidRDefault="00BE70A2" w:rsidP="005E05AB">
      <w:pPr>
        <w:pStyle w:val="BodyText"/>
        <w:numPr>
          <w:ilvl w:val="0"/>
          <w:numId w:val="24"/>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57EA3F86" w14:textId="190EAF86" w:rsidR="00BE70A2" w:rsidRPr="00C63D1E" w:rsidRDefault="00E15A04" w:rsidP="005E05AB">
      <w:pPr>
        <w:pStyle w:val="BodyText"/>
        <w:numPr>
          <w:ilvl w:val="0"/>
          <w:numId w:val="24"/>
        </w:numPr>
        <w:tabs>
          <w:tab w:val="left" w:pos="226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Rental/Lease agreement between the PDS Company for Senior Living or a provider of property management services designated by the PDS Company</w:t>
      </w:r>
    </w:p>
    <w:p w14:paraId="1293B86D" w14:textId="43FDB71F" w:rsidR="00C00ED7" w:rsidRPr="00C63D1E" w:rsidRDefault="00C00ED7" w:rsidP="00C63D1E">
      <w:pPr>
        <w:pStyle w:val="BodyText"/>
        <w:numPr>
          <w:ilvl w:val="0"/>
          <w:numId w:val="25"/>
        </w:numPr>
        <w:tabs>
          <w:tab w:val="left" w:pos="540"/>
        </w:tabs>
        <w:autoSpaceDE w:val="0"/>
        <w:autoSpaceDN w:val="0"/>
        <w:adjustRightInd w:val="0"/>
        <w:spacing w:before="120"/>
        <w:jc w:val="both"/>
        <w:rPr>
          <w:rFonts w:ascii="Abadi" w:eastAsia="Times New Roman" w:hAnsi="Abadi" w:cs="Arial"/>
          <w:sz w:val="20"/>
          <w:szCs w:val="20"/>
        </w:rPr>
      </w:pPr>
      <w:r w:rsidRPr="00C63D1E">
        <w:rPr>
          <w:rFonts w:ascii="Abadi" w:eastAsia="Times New Roman" w:hAnsi="Abadi" w:cs="Arial"/>
          <w:sz w:val="20"/>
          <w:szCs w:val="20"/>
        </w:rPr>
        <w:t xml:space="preserve">No </w:t>
      </w:r>
      <w:proofErr w:type="spellStart"/>
      <w:r w:rsidRPr="00C63D1E">
        <w:rPr>
          <w:rFonts w:ascii="Abadi" w:eastAsia="Times New Roman" w:hAnsi="Abadi" w:cs="Arial"/>
          <w:sz w:val="20"/>
          <w:szCs w:val="20"/>
        </w:rPr>
        <w:t>authorisation</w:t>
      </w:r>
      <w:proofErr w:type="spellEnd"/>
      <w:r w:rsidRPr="00C63D1E">
        <w:rPr>
          <w:rFonts w:ascii="Abadi" w:eastAsia="Times New Roman" w:hAnsi="Abadi" w:cs="Arial"/>
          <w:sz w:val="20"/>
          <w:szCs w:val="20"/>
        </w:rPr>
        <w:t xml:space="preserve"> is required for</w:t>
      </w:r>
      <w:r w:rsidR="009857B7" w:rsidRPr="00C63D1E">
        <w:rPr>
          <w:rFonts w:ascii="Abadi" w:eastAsia="Times New Roman" w:hAnsi="Abadi" w:cs="Arial"/>
          <w:sz w:val="20"/>
          <w:szCs w:val="20"/>
        </w:rPr>
        <w:t xml:space="preserve"> rental/lease to </w:t>
      </w:r>
      <w:r w:rsidRPr="00C63D1E">
        <w:rPr>
          <w:rFonts w:ascii="Abadi" w:eastAsia="Times New Roman" w:hAnsi="Abadi" w:cs="Arial"/>
          <w:sz w:val="20"/>
          <w:szCs w:val="20"/>
        </w:rPr>
        <w:t xml:space="preserve">citizens </w:t>
      </w:r>
      <w:r w:rsidR="005E5F8C" w:rsidRPr="00C63D1E">
        <w:rPr>
          <w:rFonts w:ascii="Abadi" w:eastAsia="Times New Roman" w:hAnsi="Abadi" w:cs="Arial"/>
          <w:sz w:val="20"/>
          <w:szCs w:val="20"/>
        </w:rPr>
        <w:t>of Mauritius</w:t>
      </w:r>
      <w:r w:rsidR="00842B90" w:rsidRPr="00C63D1E">
        <w:rPr>
          <w:rFonts w:ascii="Abadi" w:eastAsia="Times New Roman" w:hAnsi="Abadi" w:cs="Arial"/>
          <w:sz w:val="20"/>
          <w:szCs w:val="20"/>
        </w:rPr>
        <w:t xml:space="preserve"> and members of the Mauritian Diaspora.</w:t>
      </w:r>
    </w:p>
    <w:p w14:paraId="7012CAEA" w14:textId="1BFF723D" w:rsidR="00503E3C" w:rsidRDefault="00503E3C"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31CE521F" w14:textId="7766EB43" w:rsidR="00503E3C" w:rsidRDefault="00503E3C"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425C62B9" w14:textId="6D4436EF"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6CFC65F5" w14:textId="521BA9DA"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0A500310" w14:textId="178F7981"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7634FC49" w14:textId="3FAAC376"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15195CB6" w14:textId="6CB3FA06"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4F8B9DB5" w14:textId="74E14738"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0176158D" w14:textId="7A94DE79"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3C27C337" w14:textId="11B8E8EA"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7DCC0104" w14:textId="56854ADE"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5296165E" w14:textId="298F6140"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7C92A77F" w14:textId="0A39E484"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6A004024" w14:textId="2516CF63"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771ECA39" w14:textId="290196EF"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3D081D80" w14:textId="77CE28B5"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3AFC8D82" w14:textId="1B952798"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441CA7DE" w14:textId="558A9DF5"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41DA98B8" w14:textId="233249EE"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5B4AF152" w14:textId="64FB5138"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1867AB7D" w14:textId="654F88C3"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373E84CC" w14:textId="3CE5DC5F"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59440BA4" w14:textId="777C707F"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7BF4C1ED" w14:textId="0A1F3118"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69AB17EB" w14:textId="76587620"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3AB8B13F" w14:textId="4D420498" w:rsidR="00C63D1E" w:rsidRDefault="00C63D1E" w:rsidP="00503E3C">
      <w:pPr>
        <w:pStyle w:val="BodyText"/>
        <w:tabs>
          <w:tab w:val="left" w:pos="540"/>
        </w:tabs>
        <w:autoSpaceDE w:val="0"/>
        <w:autoSpaceDN w:val="0"/>
        <w:adjustRightInd w:val="0"/>
        <w:spacing w:before="120"/>
        <w:rPr>
          <w:rFonts w:ascii="Univers" w:eastAsia="Times New Roman" w:hAnsi="Univers" w:cs="Arial"/>
          <w:sz w:val="20"/>
          <w:szCs w:val="20"/>
        </w:rPr>
      </w:pPr>
    </w:p>
    <w:p w14:paraId="1544DDCE" w14:textId="622E77B1" w:rsidR="00753F58" w:rsidRDefault="00BF489A" w:rsidP="00BF489A">
      <w:pPr>
        <w:pStyle w:val="Heading1"/>
        <w:spacing w:before="0" w:after="240"/>
        <w:rPr>
          <w:rFonts w:ascii="Arial Nova Cond" w:hAnsi="Arial Nova Cond"/>
          <w:b/>
          <w:sz w:val="40"/>
        </w:rPr>
      </w:pPr>
      <w:bookmarkStart w:id="28" w:name="_Toc73131446"/>
      <w:r>
        <w:rPr>
          <w:rFonts w:ascii="Arial Nova Cond" w:hAnsi="Arial Nova Cond"/>
          <w:b/>
          <w:sz w:val="40"/>
        </w:rPr>
        <w:lastRenderedPageBreak/>
        <w:t xml:space="preserve">part </w:t>
      </w:r>
      <w:r w:rsidR="00075F0F">
        <w:rPr>
          <w:rFonts w:ascii="Arial Nova Cond" w:hAnsi="Arial Nova Cond"/>
          <w:b/>
          <w:sz w:val="40"/>
        </w:rPr>
        <w:t>3</w:t>
      </w:r>
      <w:r w:rsidR="00C63D1E">
        <w:rPr>
          <w:rFonts w:ascii="Arial Nova Cond" w:hAnsi="Arial Nova Cond"/>
          <w:b/>
          <w:sz w:val="40"/>
        </w:rPr>
        <w:t>:</w:t>
      </w:r>
      <w:r>
        <w:rPr>
          <w:rFonts w:ascii="Arial Nova Cond" w:hAnsi="Arial Nova Cond"/>
          <w:b/>
          <w:sz w:val="40"/>
        </w:rPr>
        <w:t xml:space="preserve"> </w:t>
      </w:r>
      <w:r w:rsidR="005E5F8C">
        <w:rPr>
          <w:rFonts w:ascii="Arial Nova Cond" w:hAnsi="Arial Nova Cond"/>
          <w:b/>
          <w:sz w:val="40"/>
        </w:rPr>
        <w:t>Sale of life right</w:t>
      </w:r>
      <w:bookmarkEnd w:id="28"/>
    </w:p>
    <w:p w14:paraId="4D8B9070" w14:textId="6E2825F3" w:rsidR="00BF489A" w:rsidRDefault="00BF489A" w:rsidP="00BF489A">
      <w:pPr>
        <w:pStyle w:val="Heading1"/>
        <w:spacing w:before="0" w:after="240"/>
        <w:rPr>
          <w:rFonts w:ascii="Univers" w:hAnsi="Univers"/>
          <w:b/>
        </w:rPr>
      </w:pPr>
      <w:r w:rsidRPr="009E3F76">
        <w:rPr>
          <w:rFonts w:ascii="Arial Nova Cond" w:hAnsi="Arial Nova Cond"/>
          <w:b/>
          <w:sz w:val="40"/>
        </w:rPr>
        <w:t xml:space="preserve"> </w:t>
      </w:r>
    </w:p>
    <w:p w14:paraId="6038877B" w14:textId="0A67B2A5" w:rsidR="00902223" w:rsidRPr="00C627AA" w:rsidRDefault="00902223" w:rsidP="00075F0F">
      <w:pPr>
        <w:pStyle w:val="Heading3"/>
        <w:numPr>
          <w:ilvl w:val="1"/>
          <w:numId w:val="47"/>
        </w:numPr>
        <w:pBdr>
          <w:top w:val="single" w:sz="6" w:space="5" w:color="83992A" w:themeColor="accent1"/>
        </w:pBdr>
        <w:contextualSpacing/>
        <w:rPr>
          <w:b/>
          <w:color w:val="61721F" w:themeColor="accent1" w:themeShade="BF"/>
        </w:rPr>
      </w:pPr>
      <w:bookmarkStart w:id="29" w:name="_Toc73131447"/>
      <w:r w:rsidRPr="00C627AA">
        <w:rPr>
          <w:b/>
          <w:color w:val="61721F" w:themeColor="accent1" w:themeShade="BF"/>
        </w:rPr>
        <w:t>Acquisition of life right</w:t>
      </w:r>
      <w:bookmarkEnd w:id="29"/>
    </w:p>
    <w:p w14:paraId="47FD844D" w14:textId="77777777" w:rsidR="00902223" w:rsidRDefault="00902223" w:rsidP="00902223">
      <w:pPr>
        <w:pStyle w:val="ListParagraph"/>
        <w:ind w:left="380"/>
        <w:jc w:val="both"/>
        <w:rPr>
          <w:rFonts w:ascii="Univers" w:hAnsi="Univers"/>
          <w:lang w:val="en-GB"/>
        </w:rPr>
      </w:pPr>
    </w:p>
    <w:p w14:paraId="295EF50D" w14:textId="7344F614" w:rsidR="005E5F8C" w:rsidRPr="00C63D1E" w:rsidRDefault="005E5F8C" w:rsidP="00C63D1E">
      <w:pPr>
        <w:pStyle w:val="ListParagraph"/>
        <w:numPr>
          <w:ilvl w:val="0"/>
          <w:numId w:val="26"/>
        </w:numPr>
        <w:ind w:left="630"/>
        <w:jc w:val="both"/>
        <w:rPr>
          <w:rFonts w:ascii="Abadi" w:hAnsi="Abadi"/>
          <w:lang w:val="en-GB"/>
        </w:rPr>
      </w:pPr>
      <w:r w:rsidRPr="00C63D1E">
        <w:rPr>
          <w:rFonts w:ascii="Abadi" w:hAnsi="Abadi"/>
          <w:lang w:val="en-GB"/>
        </w:rPr>
        <w:t>A person acquiring a life right in respect of a residential property has the right to live in a unit for the rest of his life, free of rent.</w:t>
      </w:r>
      <w:r w:rsidR="00B452B1" w:rsidRPr="00C63D1E">
        <w:rPr>
          <w:rFonts w:ascii="Abadi" w:hAnsi="Abadi"/>
          <w:lang w:val="en-GB"/>
        </w:rPr>
        <w:t xml:space="preserve"> </w:t>
      </w:r>
      <w:r w:rsidRPr="00C63D1E">
        <w:rPr>
          <w:rFonts w:ascii="Abadi" w:hAnsi="Abadi"/>
          <w:lang w:val="en-GB"/>
        </w:rPr>
        <w:t xml:space="preserve">There is no transfer of property. Ownership is retained by the </w:t>
      </w:r>
      <w:r w:rsidR="00B452B1" w:rsidRPr="00C63D1E">
        <w:rPr>
          <w:rFonts w:ascii="Abadi" w:hAnsi="Abadi"/>
          <w:lang w:val="en-GB"/>
        </w:rPr>
        <w:t>PDS Company for Senior Living.</w:t>
      </w:r>
    </w:p>
    <w:p w14:paraId="52110EDA" w14:textId="77777777" w:rsidR="00B452B1" w:rsidRPr="00C63D1E" w:rsidRDefault="00B452B1" w:rsidP="00C63D1E">
      <w:pPr>
        <w:pStyle w:val="ListParagraph"/>
        <w:ind w:left="270"/>
        <w:jc w:val="both"/>
        <w:rPr>
          <w:rFonts w:ascii="Abadi" w:hAnsi="Abadi"/>
          <w:lang w:val="en-GB"/>
        </w:rPr>
      </w:pPr>
    </w:p>
    <w:p w14:paraId="225E0F54" w14:textId="1C0E3CBC" w:rsidR="00B452B1" w:rsidRPr="00C63D1E" w:rsidRDefault="00B452B1" w:rsidP="00C63D1E">
      <w:pPr>
        <w:pStyle w:val="ListParagraph"/>
        <w:numPr>
          <w:ilvl w:val="0"/>
          <w:numId w:val="26"/>
        </w:numPr>
        <w:ind w:left="630"/>
        <w:jc w:val="both"/>
        <w:rPr>
          <w:rFonts w:ascii="Abadi" w:hAnsi="Abadi"/>
          <w:lang w:val="en-GB"/>
        </w:rPr>
      </w:pPr>
      <w:r w:rsidRPr="00C63D1E">
        <w:rPr>
          <w:rFonts w:ascii="Abadi" w:hAnsi="Abadi"/>
          <w:lang w:val="en-GB"/>
        </w:rPr>
        <w:t>The life right terminates upon death of the occupant or if the occupant decides to terminate the agreement. The occupant (</w:t>
      </w:r>
      <w:proofErr w:type="spellStart"/>
      <w:r w:rsidRPr="00C63D1E">
        <w:rPr>
          <w:rFonts w:ascii="Abadi" w:hAnsi="Abadi"/>
          <w:lang w:val="en-GB"/>
        </w:rPr>
        <w:t>i.e</w:t>
      </w:r>
      <w:proofErr w:type="spellEnd"/>
      <w:r w:rsidRPr="00C63D1E">
        <w:rPr>
          <w:rFonts w:ascii="Abadi" w:hAnsi="Abadi"/>
          <w:lang w:val="en-GB"/>
        </w:rPr>
        <w:t xml:space="preserve"> the person who has acquired a life right) cannot leave the property to somebody in his will.</w:t>
      </w:r>
    </w:p>
    <w:p w14:paraId="26004362" w14:textId="77777777" w:rsidR="00B452B1" w:rsidRPr="00C63D1E" w:rsidRDefault="00B452B1" w:rsidP="00C63D1E">
      <w:pPr>
        <w:pStyle w:val="ListParagraph"/>
        <w:ind w:left="610"/>
        <w:rPr>
          <w:rFonts w:ascii="Abadi" w:hAnsi="Abadi"/>
          <w:lang w:val="en-GB"/>
        </w:rPr>
      </w:pPr>
    </w:p>
    <w:p w14:paraId="001F5956" w14:textId="191EC3F8" w:rsidR="005E5F8C" w:rsidRPr="00C63D1E" w:rsidRDefault="00B452B1" w:rsidP="00C63D1E">
      <w:pPr>
        <w:pStyle w:val="ListParagraph"/>
        <w:numPr>
          <w:ilvl w:val="0"/>
          <w:numId w:val="26"/>
        </w:numPr>
        <w:ind w:left="630"/>
        <w:jc w:val="both"/>
        <w:rPr>
          <w:rFonts w:ascii="Abadi" w:hAnsi="Abadi"/>
          <w:i/>
          <w:lang w:val="fr-FR"/>
        </w:rPr>
      </w:pPr>
      <w:r w:rsidRPr="00C63D1E">
        <w:rPr>
          <w:rFonts w:ascii="Abadi" w:hAnsi="Abadi"/>
          <w:lang w:val="en-GB"/>
        </w:rPr>
        <w:t>The occupant (with its heirs, administrators, executor and assigns) may not sell the right whether by way of exchange, donation, testamentary disposition,</w:t>
      </w:r>
      <w:r w:rsidR="005E5F8C" w:rsidRPr="00C63D1E">
        <w:rPr>
          <w:rFonts w:ascii="Abadi" w:hAnsi="Abadi"/>
          <w:lang w:val="en-GB"/>
        </w:rPr>
        <w:t xml:space="preserve"> or </w:t>
      </w:r>
      <w:proofErr w:type="gramStart"/>
      <w:r w:rsidR="005E5F8C" w:rsidRPr="00C63D1E">
        <w:rPr>
          <w:rFonts w:ascii="Abadi" w:hAnsi="Abadi"/>
          <w:lang w:val="en-GB"/>
        </w:rPr>
        <w:t>as a consequence of</w:t>
      </w:r>
      <w:proofErr w:type="gramEnd"/>
      <w:r w:rsidR="005E5F8C" w:rsidRPr="00C63D1E">
        <w:rPr>
          <w:rFonts w:ascii="Abadi" w:hAnsi="Abadi"/>
          <w:lang w:val="en-GB"/>
        </w:rPr>
        <w:t xml:space="preserve"> intestate succession, dispose of the life rights to any other person.</w:t>
      </w:r>
      <w:r w:rsidR="005E5F8C" w:rsidRPr="00C63D1E">
        <w:rPr>
          <w:rFonts w:ascii="Abadi" w:hAnsi="Abadi" w:cs="Arial"/>
          <w:sz w:val="23"/>
          <w:szCs w:val="23"/>
          <w:lang w:val="en-GB"/>
        </w:rPr>
        <w:t xml:space="preserve"> </w:t>
      </w:r>
      <w:r w:rsidR="005E5F8C" w:rsidRPr="00C63D1E">
        <w:rPr>
          <w:rFonts w:ascii="Abadi" w:hAnsi="Abadi"/>
          <w:i/>
          <w:lang w:val="fr-FR"/>
        </w:rPr>
        <w:t>[</w:t>
      </w:r>
      <w:proofErr w:type="spellStart"/>
      <w:r w:rsidR="005E5F8C" w:rsidRPr="00C63D1E">
        <w:rPr>
          <w:rFonts w:ascii="Abadi" w:hAnsi="Abadi"/>
          <w:i/>
          <w:lang w:val="fr-FR"/>
        </w:rPr>
        <w:t>Refer</w:t>
      </w:r>
      <w:proofErr w:type="spellEnd"/>
      <w:r w:rsidR="005E5F8C" w:rsidRPr="00C63D1E">
        <w:rPr>
          <w:rFonts w:ascii="Abadi" w:hAnsi="Abadi"/>
          <w:i/>
          <w:lang w:val="fr-FR"/>
        </w:rPr>
        <w:t xml:space="preserve"> to article 1717 of the code civil - Le preneur a le droit de sous-louer, et même de céder son bail à un autre, si cette faculté ne lui a pas été interdite.]</w:t>
      </w:r>
    </w:p>
    <w:p w14:paraId="656B732F" w14:textId="2E4051A9" w:rsidR="00B16321" w:rsidRPr="00C627AA" w:rsidRDefault="00B16321" w:rsidP="00075F0F">
      <w:pPr>
        <w:pStyle w:val="Heading3"/>
        <w:numPr>
          <w:ilvl w:val="1"/>
          <w:numId w:val="47"/>
        </w:numPr>
        <w:pBdr>
          <w:top w:val="single" w:sz="6" w:space="5" w:color="83992A" w:themeColor="accent1"/>
        </w:pBdr>
        <w:contextualSpacing/>
        <w:rPr>
          <w:b/>
          <w:color w:val="61721F" w:themeColor="accent1" w:themeShade="BF"/>
        </w:rPr>
      </w:pPr>
      <w:bookmarkStart w:id="30" w:name="_Toc73131448"/>
      <w:r w:rsidRPr="00C627AA">
        <w:rPr>
          <w:b/>
          <w:color w:val="61721F" w:themeColor="accent1" w:themeShade="BF"/>
        </w:rPr>
        <w:t>Documents to be submitted for acquisition of life right</w:t>
      </w:r>
      <w:bookmarkEnd w:id="30"/>
    </w:p>
    <w:p w14:paraId="035F1C2C" w14:textId="78CF8E69" w:rsidR="00B16321" w:rsidRPr="00C63D1E" w:rsidRDefault="00B16321" w:rsidP="005E05AB">
      <w:pPr>
        <w:pStyle w:val="ListParagraph"/>
        <w:numPr>
          <w:ilvl w:val="0"/>
          <w:numId w:val="27"/>
        </w:numPr>
        <w:jc w:val="both"/>
        <w:rPr>
          <w:rFonts w:ascii="Abadi" w:hAnsi="Abadi"/>
          <w:lang w:val="en-GB"/>
        </w:rPr>
      </w:pPr>
      <w:r w:rsidRPr="00C63D1E">
        <w:rPr>
          <w:rFonts w:ascii="Abadi" w:hAnsi="Abadi"/>
          <w:lang w:val="en-GB"/>
        </w:rPr>
        <w:t xml:space="preserve">An eligible retired non-citizen wishing to </w:t>
      </w:r>
      <w:r w:rsidR="006245FC" w:rsidRPr="00C63D1E">
        <w:rPr>
          <w:rFonts w:ascii="Abadi" w:hAnsi="Abadi"/>
          <w:lang w:val="en-GB"/>
        </w:rPr>
        <w:t>acquire a life right must submit the following documents:</w:t>
      </w:r>
    </w:p>
    <w:p w14:paraId="3FFA65B6" w14:textId="15CCA465" w:rsidR="006245FC" w:rsidRPr="00C63D1E" w:rsidRDefault="006245FC" w:rsidP="005E05AB">
      <w:pPr>
        <w:pStyle w:val="BodyText"/>
        <w:numPr>
          <w:ilvl w:val="0"/>
          <w:numId w:val="28"/>
        </w:numPr>
        <w:tabs>
          <w:tab w:val="left" w:pos="54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Duly authenticated copy of first 5 pages of passport</w:t>
      </w:r>
    </w:p>
    <w:p w14:paraId="0E634385" w14:textId="77777777" w:rsidR="006245FC" w:rsidRPr="00C63D1E" w:rsidRDefault="006245FC" w:rsidP="006245FC">
      <w:pPr>
        <w:pStyle w:val="BodyText"/>
        <w:tabs>
          <w:tab w:val="left" w:pos="540"/>
        </w:tabs>
        <w:autoSpaceDE w:val="0"/>
        <w:autoSpaceDN w:val="0"/>
        <w:adjustRightInd w:val="0"/>
        <w:spacing w:before="120" w:after="0" w:line="240" w:lineRule="auto"/>
        <w:ind w:left="1460"/>
        <w:jc w:val="both"/>
        <w:rPr>
          <w:rFonts w:ascii="Abadi" w:eastAsia="Times New Roman" w:hAnsi="Abadi" w:cs="Arial"/>
          <w:sz w:val="20"/>
          <w:szCs w:val="20"/>
        </w:rPr>
      </w:pPr>
    </w:p>
    <w:p w14:paraId="66CB843D" w14:textId="619DF09A" w:rsidR="006245FC" w:rsidRPr="00C63D1E" w:rsidRDefault="006245FC" w:rsidP="005E05AB">
      <w:pPr>
        <w:pStyle w:val="BodyText"/>
        <w:numPr>
          <w:ilvl w:val="0"/>
          <w:numId w:val="28"/>
        </w:numPr>
        <w:tabs>
          <w:tab w:val="left" w:pos="54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Letter from the bank certifying the KYC exercise for the client</w:t>
      </w:r>
    </w:p>
    <w:p w14:paraId="03243158" w14:textId="7BAA256C" w:rsidR="0042703C" w:rsidRPr="00C63D1E" w:rsidRDefault="0042703C" w:rsidP="005E05AB">
      <w:pPr>
        <w:pStyle w:val="BodyText"/>
        <w:numPr>
          <w:ilvl w:val="0"/>
          <w:numId w:val="28"/>
        </w:numPr>
        <w:tabs>
          <w:tab w:val="left" w:pos="540"/>
        </w:tabs>
        <w:autoSpaceDE w:val="0"/>
        <w:autoSpaceDN w:val="0"/>
        <w:adjustRightInd w:val="0"/>
        <w:spacing w:before="120" w:after="0" w:line="240" w:lineRule="auto"/>
        <w:jc w:val="both"/>
        <w:rPr>
          <w:rFonts w:ascii="Abadi" w:eastAsia="Times New Roman" w:hAnsi="Abadi" w:cs="Arial"/>
          <w:sz w:val="20"/>
          <w:szCs w:val="20"/>
        </w:rPr>
      </w:pPr>
      <w:r w:rsidRPr="00C63D1E">
        <w:rPr>
          <w:rFonts w:ascii="Abadi" w:eastAsia="Times New Roman" w:hAnsi="Abadi" w:cs="Arial"/>
          <w:sz w:val="20"/>
          <w:szCs w:val="20"/>
        </w:rPr>
        <w:t>An agreement between the applicant and the PDS for Senior Living duly endorsed by a Notary Public</w:t>
      </w:r>
    </w:p>
    <w:p w14:paraId="496A9E30" w14:textId="1A437E51" w:rsidR="00842B90" w:rsidRPr="00C63D1E" w:rsidRDefault="00842B90" w:rsidP="00842B90">
      <w:pPr>
        <w:pStyle w:val="BodyText"/>
        <w:tabs>
          <w:tab w:val="left" w:pos="540"/>
        </w:tabs>
        <w:autoSpaceDE w:val="0"/>
        <w:autoSpaceDN w:val="0"/>
        <w:adjustRightInd w:val="0"/>
        <w:spacing w:before="120" w:after="0" w:line="240" w:lineRule="auto"/>
        <w:jc w:val="both"/>
        <w:rPr>
          <w:rFonts w:ascii="Abadi" w:eastAsia="Times New Roman" w:hAnsi="Abadi" w:cs="Arial"/>
          <w:sz w:val="20"/>
          <w:szCs w:val="20"/>
        </w:rPr>
      </w:pPr>
    </w:p>
    <w:p w14:paraId="74899D14" w14:textId="389453C9" w:rsidR="00B16321" w:rsidRPr="00C63D1E" w:rsidRDefault="00842B90" w:rsidP="00842B90">
      <w:pPr>
        <w:ind w:left="650"/>
        <w:jc w:val="both"/>
        <w:rPr>
          <w:rFonts w:ascii="Abadi" w:hAnsi="Abadi"/>
          <w:b/>
          <w:caps/>
          <w:color w:val="61721F" w:themeColor="accent1" w:themeShade="BF"/>
          <w:spacing w:val="15"/>
        </w:rPr>
      </w:pPr>
      <w:r w:rsidRPr="00C63D1E">
        <w:rPr>
          <w:rFonts w:ascii="Abadi" w:eastAsia="Times New Roman" w:hAnsi="Abadi" w:cs="Arial"/>
        </w:rPr>
        <w:t xml:space="preserve">No </w:t>
      </w:r>
      <w:proofErr w:type="spellStart"/>
      <w:r w:rsidRPr="00C63D1E">
        <w:rPr>
          <w:rFonts w:ascii="Abadi" w:eastAsia="Times New Roman" w:hAnsi="Abadi" w:cs="Arial"/>
        </w:rPr>
        <w:t>authorisation</w:t>
      </w:r>
      <w:proofErr w:type="spellEnd"/>
      <w:r w:rsidRPr="00C63D1E">
        <w:rPr>
          <w:rFonts w:ascii="Abadi" w:eastAsia="Times New Roman" w:hAnsi="Abadi" w:cs="Arial"/>
        </w:rPr>
        <w:t xml:space="preserve"> is required for acquisition of life right by citizens of Mauritius and members of the Mauritian Diaspora.</w:t>
      </w:r>
    </w:p>
    <w:p w14:paraId="53494F71" w14:textId="083A9200" w:rsidR="00813A7F" w:rsidRPr="00C627AA" w:rsidRDefault="00813A7F" w:rsidP="00075F0F">
      <w:pPr>
        <w:pStyle w:val="Heading3"/>
        <w:numPr>
          <w:ilvl w:val="1"/>
          <w:numId w:val="47"/>
        </w:numPr>
        <w:pBdr>
          <w:top w:val="single" w:sz="6" w:space="5" w:color="83992A" w:themeColor="accent1"/>
        </w:pBdr>
        <w:contextualSpacing/>
        <w:rPr>
          <w:b/>
          <w:color w:val="61721F" w:themeColor="accent1" w:themeShade="BF"/>
        </w:rPr>
      </w:pPr>
      <w:bookmarkStart w:id="31" w:name="_Toc73131449"/>
      <w:r w:rsidRPr="00C627AA">
        <w:rPr>
          <w:b/>
          <w:color w:val="61721F" w:themeColor="accent1" w:themeShade="BF"/>
        </w:rPr>
        <w:t>Termination of life right</w:t>
      </w:r>
      <w:bookmarkEnd w:id="31"/>
    </w:p>
    <w:p w14:paraId="54CF2C71" w14:textId="5CED1800" w:rsidR="00813A7F" w:rsidRPr="00C63D1E" w:rsidRDefault="00813A7F" w:rsidP="005E05AB">
      <w:pPr>
        <w:pStyle w:val="BodyText"/>
        <w:numPr>
          <w:ilvl w:val="0"/>
          <w:numId w:val="29"/>
        </w:numPr>
        <w:tabs>
          <w:tab w:val="left" w:pos="540"/>
        </w:tabs>
        <w:autoSpaceDE w:val="0"/>
        <w:autoSpaceDN w:val="0"/>
        <w:adjustRightInd w:val="0"/>
        <w:spacing w:before="120"/>
        <w:ind w:left="630" w:hanging="270"/>
        <w:jc w:val="both"/>
        <w:rPr>
          <w:rFonts w:ascii="Abadi" w:hAnsi="Abadi"/>
        </w:rPr>
      </w:pPr>
      <w:r w:rsidRPr="00C63D1E">
        <w:rPr>
          <w:rFonts w:ascii="Abadi" w:eastAsia="Times New Roman" w:hAnsi="Abadi" w:cs="Arial"/>
          <w:sz w:val="20"/>
          <w:szCs w:val="20"/>
        </w:rPr>
        <w:t xml:space="preserve"> On termination of a life right unit or on death of the occupant, the outgoing occupant or the deceased heir receives an amount of the initial investment mutually agreed between the parties.</w:t>
      </w:r>
    </w:p>
    <w:p w14:paraId="1373FFC1" w14:textId="7F929F44" w:rsidR="009A58C0" w:rsidRPr="00C63D1E" w:rsidRDefault="00813A7F" w:rsidP="005E05AB">
      <w:pPr>
        <w:pStyle w:val="ListParagraph"/>
        <w:numPr>
          <w:ilvl w:val="0"/>
          <w:numId w:val="29"/>
        </w:numPr>
        <w:jc w:val="both"/>
        <w:rPr>
          <w:rFonts w:ascii="Abadi" w:hAnsi="Abadi"/>
        </w:rPr>
      </w:pPr>
      <w:r w:rsidRPr="00C63D1E">
        <w:rPr>
          <w:rFonts w:ascii="Abadi" w:eastAsia="Times New Roman" w:hAnsi="Abadi" w:cs="Arial"/>
        </w:rPr>
        <w:t xml:space="preserve">Should the developer elect to submit the said right for re-grant, it will do whatever is reasonably necessary to obtain the highest possible new Occupation Consideration from a new Occupant. The </w:t>
      </w:r>
      <w:r w:rsidR="00866A6E" w:rsidRPr="00C63D1E">
        <w:rPr>
          <w:rFonts w:ascii="Abadi" w:eastAsia="Times New Roman" w:hAnsi="Abadi" w:cs="Arial"/>
        </w:rPr>
        <w:t xml:space="preserve">new Occupation Consideration will always be within the sole and absolute discretion of the developer whose decision thereon shall be final and neither the Occupant nor </w:t>
      </w:r>
      <w:r w:rsidR="009A58C0" w:rsidRPr="00C63D1E">
        <w:rPr>
          <w:rFonts w:ascii="Abadi" w:eastAsia="Times New Roman" w:hAnsi="Abadi" w:cs="Arial"/>
        </w:rPr>
        <w:t xml:space="preserve">his heirs shall have any claim whatsoever against the PDS Company </w:t>
      </w:r>
      <w:r w:rsidR="009A58C0" w:rsidRPr="00C63D1E">
        <w:rPr>
          <w:rFonts w:ascii="Abadi" w:hAnsi="Abadi"/>
        </w:rPr>
        <w:t>arising out of it having accepted or fixed any particular amount as the new Occupation Consideration.</w:t>
      </w:r>
    </w:p>
    <w:p w14:paraId="601F1C31" w14:textId="77777777" w:rsidR="009A58C0" w:rsidRPr="00C63D1E" w:rsidRDefault="009A58C0" w:rsidP="009A58C0">
      <w:pPr>
        <w:pStyle w:val="ListParagraph"/>
        <w:jc w:val="both"/>
        <w:rPr>
          <w:rFonts w:ascii="Abadi" w:hAnsi="Abadi"/>
        </w:rPr>
      </w:pPr>
    </w:p>
    <w:p w14:paraId="730E77B8" w14:textId="7F6159BC" w:rsidR="009A58C0" w:rsidRPr="00C63D1E" w:rsidRDefault="009A58C0" w:rsidP="005E05AB">
      <w:pPr>
        <w:pStyle w:val="ListParagraph"/>
        <w:numPr>
          <w:ilvl w:val="0"/>
          <w:numId w:val="29"/>
        </w:numPr>
        <w:jc w:val="both"/>
        <w:rPr>
          <w:rFonts w:ascii="Abadi" w:hAnsi="Abadi" w:cs="Arial"/>
        </w:rPr>
      </w:pPr>
      <w:r w:rsidRPr="00C63D1E">
        <w:rPr>
          <w:rFonts w:ascii="Abadi" w:hAnsi="Abadi"/>
        </w:rPr>
        <w:t>The developer will obtain such valuation within 60 days of the Termination Date. In circumstances envisaged above, in the event of a re-grant, upon payment in full of the new Occupation Consideration which the PDS Company undertakes shall not be more than 12 months after the Termination Date or in the event of the developer electing not to submit for re-grant, then upon the determination of the value of the Life Right, the Occupant, or his heirs, as the case may be shall be paid an amount</w:t>
      </w:r>
      <w:r w:rsidRPr="00C63D1E">
        <w:rPr>
          <w:rFonts w:ascii="Abadi" w:hAnsi="Abadi" w:cs="Arial"/>
          <w:sz w:val="23"/>
          <w:szCs w:val="23"/>
        </w:rPr>
        <w:t xml:space="preserve"> </w:t>
      </w:r>
      <w:r w:rsidRPr="00C63D1E">
        <w:rPr>
          <w:rFonts w:ascii="Abadi" w:hAnsi="Abadi" w:cs="Arial"/>
        </w:rPr>
        <w:t>equivalent to the lesser of:</w:t>
      </w:r>
    </w:p>
    <w:p w14:paraId="48733B1C" w14:textId="77777777" w:rsidR="009A58C0" w:rsidRPr="00C63D1E" w:rsidRDefault="009A58C0" w:rsidP="005E05AB">
      <w:pPr>
        <w:pStyle w:val="ListParagraph"/>
        <w:numPr>
          <w:ilvl w:val="0"/>
          <w:numId w:val="30"/>
        </w:numPr>
        <w:spacing w:before="0" w:after="0" w:line="259" w:lineRule="auto"/>
        <w:jc w:val="both"/>
        <w:rPr>
          <w:rFonts w:ascii="Abadi" w:hAnsi="Abadi" w:cs="Arial"/>
        </w:rPr>
      </w:pPr>
      <w:r w:rsidRPr="00C63D1E">
        <w:rPr>
          <w:rFonts w:ascii="Abadi" w:hAnsi="Abadi" w:cs="Arial"/>
        </w:rPr>
        <w:t>the original Occupation Consideration paid by the outgoing occupant less any amounts due to the developer (maintenance levy and others)</w:t>
      </w:r>
    </w:p>
    <w:p w14:paraId="07AF6EF4" w14:textId="77777777" w:rsidR="009A58C0" w:rsidRPr="00C63D1E" w:rsidRDefault="009A58C0" w:rsidP="00D466FD">
      <w:pPr>
        <w:spacing w:after="0"/>
        <w:contextualSpacing/>
        <w:jc w:val="both"/>
        <w:rPr>
          <w:rFonts w:ascii="Abadi" w:hAnsi="Abadi" w:cs="Arial"/>
        </w:rPr>
      </w:pPr>
      <w:r w:rsidRPr="00C63D1E">
        <w:rPr>
          <w:rFonts w:ascii="Abadi" w:hAnsi="Abadi" w:cs="Arial"/>
        </w:rPr>
        <w:t>or</w:t>
      </w:r>
    </w:p>
    <w:p w14:paraId="70402895" w14:textId="77777777" w:rsidR="009A58C0" w:rsidRPr="009E33AF" w:rsidRDefault="009A58C0" w:rsidP="005E05AB">
      <w:pPr>
        <w:pStyle w:val="ListParagraph"/>
        <w:numPr>
          <w:ilvl w:val="0"/>
          <w:numId w:val="30"/>
        </w:numPr>
        <w:spacing w:before="0" w:after="0" w:line="259" w:lineRule="auto"/>
        <w:jc w:val="both"/>
        <w:rPr>
          <w:rFonts w:ascii="Univers" w:hAnsi="Univers"/>
        </w:rPr>
      </w:pPr>
      <w:r w:rsidRPr="00C63D1E">
        <w:rPr>
          <w:rFonts w:ascii="Abadi" w:hAnsi="Abadi" w:cs="Arial"/>
        </w:rPr>
        <w:lastRenderedPageBreak/>
        <w:t>the new Occupation Consideration paid by the new Occupant (or valuation) less any amounts due to the developer (maintenance levy and others)</w:t>
      </w:r>
    </w:p>
    <w:p w14:paraId="0D51B315" w14:textId="124FE92D" w:rsidR="00BF489A" w:rsidRPr="00B16321" w:rsidRDefault="00BF489A" w:rsidP="00E15A04">
      <w:pPr>
        <w:pStyle w:val="BodyText"/>
        <w:tabs>
          <w:tab w:val="left" w:pos="2260"/>
        </w:tabs>
        <w:autoSpaceDE w:val="0"/>
        <w:autoSpaceDN w:val="0"/>
        <w:adjustRightInd w:val="0"/>
        <w:spacing w:before="120" w:after="0" w:line="240" w:lineRule="auto"/>
        <w:jc w:val="both"/>
        <w:rPr>
          <w:rFonts w:ascii="Univers" w:eastAsia="Times New Roman" w:hAnsi="Univers" w:cs="Arial"/>
          <w:sz w:val="20"/>
          <w:szCs w:val="20"/>
        </w:rPr>
      </w:pPr>
    </w:p>
    <w:p w14:paraId="076D859C" w14:textId="6BC83A99" w:rsidR="00FC50CE" w:rsidRPr="00C627AA" w:rsidRDefault="00FC50CE" w:rsidP="00075F0F">
      <w:pPr>
        <w:pStyle w:val="Heading3"/>
        <w:numPr>
          <w:ilvl w:val="1"/>
          <w:numId w:val="47"/>
        </w:numPr>
        <w:pBdr>
          <w:top w:val="single" w:sz="6" w:space="5" w:color="83992A" w:themeColor="accent1"/>
        </w:pBdr>
        <w:contextualSpacing/>
        <w:rPr>
          <w:b/>
          <w:color w:val="61721F" w:themeColor="accent1" w:themeShade="BF"/>
        </w:rPr>
      </w:pPr>
      <w:bookmarkStart w:id="32" w:name="_Toc73131450"/>
      <w:r w:rsidRPr="00C627AA">
        <w:rPr>
          <w:b/>
          <w:color w:val="61721F" w:themeColor="accent1" w:themeShade="BF"/>
        </w:rPr>
        <w:t>maintenance of the scheme</w:t>
      </w:r>
      <w:bookmarkEnd w:id="32"/>
    </w:p>
    <w:p w14:paraId="40495135" w14:textId="1F74EDCB" w:rsidR="00D466FD" w:rsidRDefault="00D466FD" w:rsidP="005E05AB">
      <w:pPr>
        <w:pStyle w:val="ListParagraph"/>
        <w:numPr>
          <w:ilvl w:val="0"/>
          <w:numId w:val="31"/>
        </w:numPr>
        <w:jc w:val="both"/>
        <w:rPr>
          <w:rFonts w:ascii="Abadi" w:hAnsi="Abadi"/>
        </w:rPr>
      </w:pPr>
      <w:r w:rsidRPr="00C63D1E">
        <w:rPr>
          <w:rFonts w:ascii="Abadi" w:hAnsi="Abadi"/>
        </w:rPr>
        <w:t>The occupant may be required to pay a monthly maintenance levy, frail care levy or fees to the Syndic or any management company appointed by the PDS Company for Senior Living as the case may be.</w:t>
      </w:r>
    </w:p>
    <w:p w14:paraId="63D33B84" w14:textId="1019B761" w:rsidR="00C63D1E" w:rsidRDefault="00C63D1E" w:rsidP="00C63D1E">
      <w:pPr>
        <w:jc w:val="both"/>
        <w:rPr>
          <w:rFonts w:ascii="Abadi" w:hAnsi="Abadi"/>
        </w:rPr>
      </w:pPr>
    </w:p>
    <w:p w14:paraId="459CC56D" w14:textId="7D261F47" w:rsidR="00C63D1E" w:rsidRDefault="00C63D1E">
      <w:pPr>
        <w:rPr>
          <w:rFonts w:ascii="Abadi" w:hAnsi="Abadi"/>
        </w:rPr>
      </w:pPr>
      <w:r>
        <w:rPr>
          <w:rFonts w:ascii="Abadi" w:hAnsi="Abadi"/>
        </w:rPr>
        <w:br w:type="page"/>
      </w:r>
    </w:p>
    <w:p w14:paraId="3A8AE0A1" w14:textId="77777777" w:rsidR="00C63D1E" w:rsidRPr="00C63D1E" w:rsidRDefault="00C63D1E" w:rsidP="00C63D1E">
      <w:pPr>
        <w:jc w:val="both"/>
        <w:rPr>
          <w:rFonts w:ascii="Abadi" w:hAnsi="Abadi"/>
        </w:rPr>
      </w:pPr>
    </w:p>
    <w:p w14:paraId="09A15B23" w14:textId="151E4321" w:rsidR="007852AE" w:rsidRDefault="007852AE" w:rsidP="007852AE">
      <w:pPr>
        <w:pStyle w:val="Heading1"/>
        <w:spacing w:before="0" w:after="240"/>
        <w:rPr>
          <w:rFonts w:ascii="Univers" w:hAnsi="Univers"/>
          <w:b/>
        </w:rPr>
      </w:pPr>
      <w:bookmarkStart w:id="33" w:name="_Toc73131451"/>
      <w:r>
        <w:rPr>
          <w:rFonts w:ascii="Arial Nova Cond" w:hAnsi="Arial Nova Cond"/>
          <w:b/>
          <w:sz w:val="40"/>
        </w:rPr>
        <w:t xml:space="preserve">part </w:t>
      </w:r>
      <w:r w:rsidR="00075F0F">
        <w:rPr>
          <w:rFonts w:ascii="Arial Nova Cond" w:hAnsi="Arial Nova Cond"/>
          <w:b/>
          <w:sz w:val="40"/>
        </w:rPr>
        <w:t>4</w:t>
      </w:r>
      <w:r w:rsidR="00C63D1E">
        <w:rPr>
          <w:rFonts w:ascii="Arial Nova Cond" w:hAnsi="Arial Nova Cond"/>
          <w:b/>
          <w:sz w:val="40"/>
        </w:rPr>
        <w:t>:</w:t>
      </w:r>
      <w:r>
        <w:rPr>
          <w:rFonts w:ascii="Arial Nova Cond" w:hAnsi="Arial Nova Cond"/>
          <w:b/>
          <w:sz w:val="40"/>
        </w:rPr>
        <w:t xml:space="preserve"> residency in mauritius</w:t>
      </w:r>
      <w:bookmarkEnd w:id="33"/>
    </w:p>
    <w:p w14:paraId="271DC221" w14:textId="201E7784" w:rsidR="00BB4E56" w:rsidRPr="00C627AA" w:rsidRDefault="00BB4E56" w:rsidP="00075F0F">
      <w:pPr>
        <w:pStyle w:val="Heading3"/>
        <w:numPr>
          <w:ilvl w:val="1"/>
          <w:numId w:val="36"/>
        </w:numPr>
        <w:pBdr>
          <w:top w:val="single" w:sz="6" w:space="5" w:color="83992A" w:themeColor="accent1"/>
        </w:pBdr>
        <w:contextualSpacing/>
        <w:rPr>
          <w:b/>
          <w:color w:val="61721F" w:themeColor="accent1" w:themeShade="BF"/>
        </w:rPr>
      </w:pPr>
      <w:bookmarkStart w:id="34" w:name="_Toc73131452"/>
      <w:r w:rsidRPr="00C627AA">
        <w:rPr>
          <w:b/>
          <w:color w:val="61721F" w:themeColor="accent1" w:themeShade="BF"/>
        </w:rPr>
        <w:t>residency in Mauritius</w:t>
      </w:r>
      <w:bookmarkEnd w:id="34"/>
    </w:p>
    <w:p w14:paraId="01260BEB" w14:textId="326D305C" w:rsidR="005C6AC3" w:rsidRPr="00BE43FC" w:rsidRDefault="00BB4E56" w:rsidP="00C63D1E">
      <w:pPr>
        <w:pStyle w:val="ListParagraph"/>
        <w:numPr>
          <w:ilvl w:val="0"/>
          <w:numId w:val="33"/>
        </w:numPr>
        <w:ind w:left="630"/>
        <w:jc w:val="both"/>
        <w:rPr>
          <w:rFonts w:ascii="Abadi" w:hAnsi="Abadi"/>
        </w:rPr>
      </w:pPr>
      <w:r w:rsidRPr="00BE43FC">
        <w:rPr>
          <w:rFonts w:ascii="Abadi" w:hAnsi="Abadi"/>
        </w:rPr>
        <w:t>Pursuant to Regulations 13</w:t>
      </w:r>
      <w:r w:rsidR="005C6AC3" w:rsidRPr="00BE43FC">
        <w:rPr>
          <w:rFonts w:ascii="Abadi" w:hAnsi="Abadi"/>
        </w:rPr>
        <w:t>(1A)</w:t>
      </w:r>
      <w:r w:rsidRPr="00BE43FC">
        <w:rPr>
          <w:rFonts w:ascii="Abadi" w:hAnsi="Abadi"/>
        </w:rPr>
        <w:t xml:space="preserve"> of the </w:t>
      </w:r>
      <w:r w:rsidR="005C6AC3" w:rsidRPr="00BE43FC">
        <w:rPr>
          <w:rFonts w:ascii="Abadi" w:hAnsi="Abadi"/>
        </w:rPr>
        <w:t>Economic Development Board (Property Development Scheme)</w:t>
      </w:r>
      <w:r w:rsidR="000B7470" w:rsidRPr="00BE43FC">
        <w:rPr>
          <w:rFonts w:ascii="Abadi" w:hAnsi="Abadi"/>
        </w:rPr>
        <w:t xml:space="preserve"> Regulations 2015, a residence permit under the Immigration Act is granted to the non-citizen </w:t>
      </w:r>
      <w:r w:rsidR="00832FE4" w:rsidRPr="00BE43FC">
        <w:rPr>
          <w:rFonts w:ascii="Abadi" w:hAnsi="Abadi"/>
        </w:rPr>
        <w:t>who acquires, leases, rents or otherwise acquires the right to live in a residential unit for the rest of his life free of rent, from a PDS Company relating to senior living.</w:t>
      </w:r>
      <w:r w:rsidR="00C63D1E" w:rsidRPr="00BE43FC">
        <w:rPr>
          <w:rFonts w:ascii="Abadi" w:hAnsi="Abadi"/>
        </w:rPr>
        <w:t xml:space="preserve"> The application for residence permit can be submitted in respect of himself and/or his spouse or common law partner.</w:t>
      </w:r>
    </w:p>
    <w:p w14:paraId="567A9763" w14:textId="77777777" w:rsidR="00396FC7" w:rsidRPr="00BE43FC" w:rsidRDefault="00396FC7" w:rsidP="00C63D1E">
      <w:pPr>
        <w:pStyle w:val="ListParagraph"/>
        <w:ind w:left="630"/>
        <w:jc w:val="both"/>
        <w:rPr>
          <w:rFonts w:ascii="Abadi" w:hAnsi="Abadi"/>
        </w:rPr>
      </w:pPr>
    </w:p>
    <w:p w14:paraId="469592BE" w14:textId="6FC9277C" w:rsidR="00901B8C" w:rsidRPr="00BE43FC" w:rsidRDefault="00901B8C" w:rsidP="005E05AB">
      <w:pPr>
        <w:pStyle w:val="ListParagraph"/>
        <w:numPr>
          <w:ilvl w:val="0"/>
          <w:numId w:val="33"/>
        </w:numPr>
        <w:jc w:val="both"/>
        <w:rPr>
          <w:rFonts w:ascii="Abadi" w:hAnsi="Abadi"/>
        </w:rPr>
      </w:pPr>
      <w:r w:rsidRPr="00BE43FC">
        <w:rPr>
          <w:rFonts w:ascii="Abadi" w:hAnsi="Abadi"/>
        </w:rPr>
        <w:t xml:space="preserve">There is no minimum investment applicable for the obtention of the Residence Permit. </w:t>
      </w:r>
    </w:p>
    <w:p w14:paraId="0ED94D70" w14:textId="11B5ACF1" w:rsidR="00901B8C" w:rsidRPr="00BE43FC" w:rsidRDefault="00901B8C" w:rsidP="00075F0F">
      <w:pPr>
        <w:pStyle w:val="Heading3"/>
        <w:numPr>
          <w:ilvl w:val="1"/>
          <w:numId w:val="36"/>
        </w:numPr>
        <w:pBdr>
          <w:top w:val="single" w:sz="6" w:space="5" w:color="83992A" w:themeColor="accent1"/>
        </w:pBdr>
        <w:contextualSpacing/>
        <w:rPr>
          <w:b/>
          <w:color w:val="61721F" w:themeColor="accent1" w:themeShade="BF"/>
        </w:rPr>
      </w:pPr>
      <w:bookmarkStart w:id="35" w:name="_Toc73131453"/>
      <w:r w:rsidRPr="00BE43FC">
        <w:rPr>
          <w:b/>
          <w:color w:val="61721F" w:themeColor="accent1" w:themeShade="BF"/>
        </w:rPr>
        <w:t>Documents to be submitted for residence permit</w:t>
      </w:r>
      <w:bookmarkEnd w:id="35"/>
    </w:p>
    <w:p w14:paraId="35344FE9" w14:textId="2CE1541B" w:rsidR="00FA10A0" w:rsidRPr="00BE43FC" w:rsidRDefault="00901B8C" w:rsidP="005E05AB">
      <w:pPr>
        <w:pStyle w:val="BodyText"/>
        <w:numPr>
          <w:ilvl w:val="0"/>
          <w:numId w:val="34"/>
        </w:numPr>
        <w:tabs>
          <w:tab w:val="left" w:pos="540"/>
        </w:tabs>
        <w:autoSpaceDE w:val="0"/>
        <w:autoSpaceDN w:val="0"/>
        <w:adjustRightInd w:val="0"/>
        <w:spacing w:before="120" w:after="0" w:line="240" w:lineRule="auto"/>
        <w:jc w:val="both"/>
        <w:rPr>
          <w:rFonts w:ascii="Abadi" w:eastAsiaTheme="minorEastAsia" w:hAnsi="Abadi"/>
          <w:sz w:val="20"/>
          <w:szCs w:val="20"/>
        </w:rPr>
      </w:pPr>
      <w:r w:rsidRPr="00BE43FC">
        <w:rPr>
          <w:rFonts w:ascii="Abadi" w:eastAsiaTheme="minorEastAsia" w:hAnsi="Abadi"/>
          <w:sz w:val="20"/>
          <w:szCs w:val="20"/>
        </w:rPr>
        <w:t xml:space="preserve">The following documents must be submitted </w:t>
      </w:r>
      <w:r w:rsidR="007723E3" w:rsidRPr="00BE43FC">
        <w:rPr>
          <w:rFonts w:ascii="Abadi" w:eastAsiaTheme="minorEastAsia" w:hAnsi="Abadi"/>
          <w:sz w:val="20"/>
          <w:szCs w:val="20"/>
        </w:rPr>
        <w:t>at time of application for the obtention of the Residence Permit:</w:t>
      </w:r>
    </w:p>
    <w:p w14:paraId="5B64618E" w14:textId="77777777" w:rsidR="00633A34" w:rsidRDefault="00633A34" w:rsidP="00633A34">
      <w:pPr>
        <w:pStyle w:val="BodyText"/>
        <w:tabs>
          <w:tab w:val="left" w:pos="540"/>
        </w:tabs>
        <w:autoSpaceDE w:val="0"/>
        <w:autoSpaceDN w:val="0"/>
        <w:adjustRightInd w:val="0"/>
        <w:spacing w:before="120" w:after="0" w:line="240" w:lineRule="auto"/>
        <w:jc w:val="both"/>
        <w:rPr>
          <w:rFonts w:ascii="Univers" w:eastAsiaTheme="minorEastAsia" w:hAnsi="Univers"/>
          <w:sz w:val="20"/>
          <w:szCs w:val="20"/>
        </w:rPr>
      </w:pPr>
    </w:p>
    <w:tbl>
      <w:tblPr>
        <w:tblStyle w:val="GridTable4-Accent1"/>
        <w:tblW w:w="6049" w:type="dxa"/>
        <w:jc w:val="center"/>
        <w:tblLayout w:type="fixed"/>
        <w:tblLook w:val="04A0" w:firstRow="1" w:lastRow="0" w:firstColumn="1" w:lastColumn="0" w:noHBand="0" w:noVBand="1"/>
      </w:tblPr>
      <w:tblGrid>
        <w:gridCol w:w="1639"/>
        <w:gridCol w:w="1620"/>
        <w:gridCol w:w="1379"/>
        <w:gridCol w:w="1411"/>
      </w:tblGrid>
      <w:tr w:rsidR="004A6CCD" w:rsidRPr="008D267B" w14:paraId="1770CD05" w14:textId="26BE2FE3" w:rsidTr="00D322B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dxa"/>
          </w:tcPr>
          <w:p w14:paraId="775F0BFF" w14:textId="0F669789" w:rsidR="004A6CCD" w:rsidRPr="002953C6" w:rsidRDefault="004A6CCD" w:rsidP="00633A34">
            <w:pPr>
              <w:pStyle w:val="BodyText"/>
              <w:tabs>
                <w:tab w:val="left" w:pos="540"/>
              </w:tabs>
              <w:autoSpaceDE w:val="0"/>
              <w:autoSpaceDN w:val="0"/>
              <w:adjustRightInd w:val="0"/>
              <w:spacing w:before="120" w:after="0" w:line="240" w:lineRule="auto"/>
              <w:jc w:val="both"/>
              <w:rPr>
                <w:rFonts w:ascii="Univers" w:eastAsiaTheme="minorEastAsia" w:hAnsi="Univers"/>
                <w:sz w:val="14"/>
                <w:szCs w:val="14"/>
              </w:rPr>
            </w:pPr>
            <w:r w:rsidRPr="002953C6">
              <w:rPr>
                <w:rFonts w:ascii="Univers" w:eastAsiaTheme="minorEastAsia" w:hAnsi="Univers"/>
                <w:sz w:val="14"/>
                <w:szCs w:val="14"/>
              </w:rPr>
              <w:t>Documents</w:t>
            </w:r>
          </w:p>
        </w:tc>
        <w:tc>
          <w:tcPr>
            <w:tcW w:w="1620" w:type="dxa"/>
          </w:tcPr>
          <w:p w14:paraId="145C2881" w14:textId="4B0DE9AC" w:rsidR="008D267B" w:rsidRPr="002953C6" w:rsidRDefault="004A6CCD" w:rsidP="00633A34">
            <w:pPr>
              <w:pStyle w:val="BodyText"/>
              <w:tabs>
                <w:tab w:val="left" w:pos="540"/>
              </w:tabs>
              <w:autoSpaceDE w:val="0"/>
              <w:autoSpaceDN w:val="0"/>
              <w:adjustRightInd w:val="0"/>
              <w:spacing w:before="120" w:after="0" w:line="240" w:lineRule="auto"/>
              <w:jc w:val="both"/>
              <w:cnfStyle w:val="100000000000" w:firstRow="1"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Non-citizen</w:t>
            </w:r>
            <w:r w:rsidR="008D267B" w:rsidRPr="002953C6">
              <w:rPr>
                <w:rFonts w:ascii="Univers" w:eastAsiaTheme="minorEastAsia" w:hAnsi="Univers"/>
                <w:sz w:val="14"/>
                <w:szCs w:val="14"/>
              </w:rPr>
              <w:t xml:space="preserve"> who acquires a residential unit</w:t>
            </w:r>
          </w:p>
        </w:tc>
        <w:tc>
          <w:tcPr>
            <w:tcW w:w="1379" w:type="dxa"/>
          </w:tcPr>
          <w:p w14:paraId="31ECB166" w14:textId="0DBE5AF7" w:rsidR="004A6CCD" w:rsidRPr="002953C6" w:rsidRDefault="008D267B" w:rsidP="00633A34">
            <w:pPr>
              <w:pStyle w:val="BodyText"/>
              <w:tabs>
                <w:tab w:val="left" w:pos="540"/>
              </w:tabs>
              <w:autoSpaceDE w:val="0"/>
              <w:autoSpaceDN w:val="0"/>
              <w:adjustRightInd w:val="0"/>
              <w:spacing w:before="120" w:after="0" w:line="240" w:lineRule="auto"/>
              <w:jc w:val="both"/>
              <w:cnfStyle w:val="100000000000" w:firstRow="1"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 xml:space="preserve">Non-citizen who leases </w:t>
            </w:r>
            <w:r w:rsidR="007F40E6" w:rsidRPr="002953C6">
              <w:rPr>
                <w:rFonts w:ascii="Univers" w:eastAsiaTheme="minorEastAsia" w:hAnsi="Univers"/>
                <w:sz w:val="14"/>
                <w:szCs w:val="14"/>
              </w:rPr>
              <w:t>a residential unit</w:t>
            </w:r>
          </w:p>
        </w:tc>
        <w:tc>
          <w:tcPr>
            <w:tcW w:w="1411" w:type="dxa"/>
          </w:tcPr>
          <w:p w14:paraId="693FD188" w14:textId="7233F3B6" w:rsidR="004A6CCD" w:rsidRPr="002953C6" w:rsidRDefault="007F40E6" w:rsidP="00633A34">
            <w:pPr>
              <w:pStyle w:val="BodyText"/>
              <w:tabs>
                <w:tab w:val="left" w:pos="540"/>
              </w:tabs>
              <w:autoSpaceDE w:val="0"/>
              <w:autoSpaceDN w:val="0"/>
              <w:adjustRightInd w:val="0"/>
              <w:spacing w:before="120" w:after="0" w:line="240" w:lineRule="auto"/>
              <w:jc w:val="both"/>
              <w:cnfStyle w:val="100000000000" w:firstRow="1"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Non</w:t>
            </w:r>
            <w:r w:rsidR="000D6374" w:rsidRPr="002953C6">
              <w:rPr>
                <w:rFonts w:ascii="Univers" w:eastAsiaTheme="minorEastAsia" w:hAnsi="Univers"/>
                <w:sz w:val="14"/>
                <w:szCs w:val="14"/>
              </w:rPr>
              <w:t>-citizen who acquires the right to live</w:t>
            </w:r>
          </w:p>
        </w:tc>
      </w:tr>
      <w:tr w:rsidR="004A6CCD" w:rsidRPr="008D267B" w14:paraId="153EA1A8" w14:textId="505645D7" w:rsidTr="00D32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dxa"/>
          </w:tcPr>
          <w:p w14:paraId="5D75E699" w14:textId="14B41B97" w:rsidR="004A6CCD" w:rsidRPr="002953C6" w:rsidRDefault="004A6CCD" w:rsidP="00633A34">
            <w:pPr>
              <w:pStyle w:val="BodyText"/>
              <w:tabs>
                <w:tab w:val="left" w:pos="540"/>
              </w:tabs>
              <w:autoSpaceDE w:val="0"/>
              <w:autoSpaceDN w:val="0"/>
              <w:adjustRightInd w:val="0"/>
              <w:spacing w:before="120" w:after="0" w:line="240" w:lineRule="auto"/>
              <w:jc w:val="both"/>
              <w:rPr>
                <w:rFonts w:ascii="Univers" w:eastAsiaTheme="minorEastAsia" w:hAnsi="Univers"/>
                <w:sz w:val="14"/>
                <w:szCs w:val="14"/>
              </w:rPr>
            </w:pPr>
            <w:r w:rsidRPr="002953C6">
              <w:rPr>
                <w:rFonts w:ascii="Univers" w:eastAsiaTheme="minorEastAsia" w:hAnsi="Univers"/>
                <w:sz w:val="14"/>
                <w:szCs w:val="14"/>
              </w:rPr>
              <w:t>Duly filled in ‘application form to enter Mauritius”</w:t>
            </w:r>
          </w:p>
        </w:tc>
        <w:tc>
          <w:tcPr>
            <w:tcW w:w="1620" w:type="dxa"/>
          </w:tcPr>
          <w:p w14:paraId="0F1C54C0" w14:textId="416FA13A"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379" w:type="dxa"/>
          </w:tcPr>
          <w:p w14:paraId="211FDF91" w14:textId="46230ED2"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411" w:type="dxa"/>
          </w:tcPr>
          <w:p w14:paraId="18C2377A" w14:textId="40FAD92C"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r>
      <w:tr w:rsidR="004A6CCD" w:rsidRPr="008D267B" w14:paraId="48605E67" w14:textId="6DD70C26" w:rsidTr="00D322BD">
        <w:trPr>
          <w:jc w:val="center"/>
        </w:trPr>
        <w:tc>
          <w:tcPr>
            <w:cnfStyle w:val="001000000000" w:firstRow="0" w:lastRow="0" w:firstColumn="1" w:lastColumn="0" w:oddVBand="0" w:evenVBand="0" w:oddHBand="0" w:evenHBand="0" w:firstRowFirstColumn="0" w:firstRowLastColumn="0" w:lastRowFirstColumn="0" w:lastRowLastColumn="0"/>
            <w:tcW w:w="1639" w:type="dxa"/>
          </w:tcPr>
          <w:p w14:paraId="1ECC74E3" w14:textId="4AA97382" w:rsidR="004A6CCD" w:rsidRPr="002953C6" w:rsidRDefault="004A6CCD" w:rsidP="00633A34">
            <w:pPr>
              <w:pStyle w:val="BodyText"/>
              <w:tabs>
                <w:tab w:val="left" w:pos="540"/>
              </w:tabs>
              <w:autoSpaceDE w:val="0"/>
              <w:autoSpaceDN w:val="0"/>
              <w:adjustRightInd w:val="0"/>
              <w:spacing w:before="120" w:after="0" w:line="240" w:lineRule="auto"/>
              <w:jc w:val="both"/>
              <w:rPr>
                <w:rFonts w:ascii="Univers" w:eastAsiaTheme="minorEastAsia" w:hAnsi="Univers"/>
                <w:sz w:val="14"/>
                <w:szCs w:val="14"/>
              </w:rPr>
            </w:pPr>
            <w:r w:rsidRPr="002953C6">
              <w:rPr>
                <w:rFonts w:ascii="Univers" w:eastAsiaTheme="minorEastAsia" w:hAnsi="Univers"/>
                <w:sz w:val="14"/>
                <w:szCs w:val="14"/>
              </w:rPr>
              <w:t>First 5 pages of each applicant/dependent passport</w:t>
            </w:r>
          </w:p>
        </w:tc>
        <w:tc>
          <w:tcPr>
            <w:tcW w:w="1620" w:type="dxa"/>
          </w:tcPr>
          <w:p w14:paraId="24ACED8D" w14:textId="78195162"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379" w:type="dxa"/>
          </w:tcPr>
          <w:p w14:paraId="7DD3D3DD" w14:textId="328BB580"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411" w:type="dxa"/>
          </w:tcPr>
          <w:p w14:paraId="6DF9FCEC" w14:textId="5BC8CA8F"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r>
      <w:tr w:rsidR="004A6CCD" w:rsidRPr="008D267B" w14:paraId="7FA9B713" w14:textId="2A68D1F6" w:rsidTr="00D32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dxa"/>
          </w:tcPr>
          <w:p w14:paraId="34126EF5" w14:textId="2B02EAB1" w:rsidR="004A6CCD" w:rsidRPr="002953C6" w:rsidRDefault="004A6CCD" w:rsidP="00633A34">
            <w:pPr>
              <w:pStyle w:val="BodyText"/>
              <w:tabs>
                <w:tab w:val="left" w:pos="540"/>
              </w:tabs>
              <w:autoSpaceDE w:val="0"/>
              <w:autoSpaceDN w:val="0"/>
              <w:adjustRightInd w:val="0"/>
              <w:spacing w:before="120" w:after="0" w:line="240" w:lineRule="auto"/>
              <w:jc w:val="both"/>
              <w:rPr>
                <w:rFonts w:ascii="Univers" w:eastAsiaTheme="minorEastAsia" w:hAnsi="Univers"/>
                <w:sz w:val="14"/>
                <w:szCs w:val="14"/>
              </w:rPr>
            </w:pPr>
            <w:r w:rsidRPr="002953C6">
              <w:rPr>
                <w:rFonts w:ascii="Univers" w:eastAsiaTheme="minorEastAsia" w:hAnsi="Univers"/>
                <w:sz w:val="14"/>
                <w:szCs w:val="14"/>
              </w:rPr>
              <w:t>Medical Certificate</w:t>
            </w:r>
          </w:p>
        </w:tc>
        <w:tc>
          <w:tcPr>
            <w:tcW w:w="1620" w:type="dxa"/>
          </w:tcPr>
          <w:p w14:paraId="4237892A" w14:textId="0790844E"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379" w:type="dxa"/>
          </w:tcPr>
          <w:p w14:paraId="6BA61E06" w14:textId="64DD5749"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411" w:type="dxa"/>
          </w:tcPr>
          <w:p w14:paraId="124B9752" w14:textId="38AD918A"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r>
      <w:tr w:rsidR="004A6CCD" w:rsidRPr="008D267B" w14:paraId="419B7A4A" w14:textId="78F8ED2B" w:rsidTr="00D322BD">
        <w:trPr>
          <w:jc w:val="center"/>
        </w:trPr>
        <w:tc>
          <w:tcPr>
            <w:cnfStyle w:val="001000000000" w:firstRow="0" w:lastRow="0" w:firstColumn="1" w:lastColumn="0" w:oddVBand="0" w:evenVBand="0" w:oddHBand="0" w:evenHBand="0" w:firstRowFirstColumn="0" w:firstRowLastColumn="0" w:lastRowFirstColumn="0" w:lastRowLastColumn="0"/>
            <w:tcW w:w="1639" w:type="dxa"/>
          </w:tcPr>
          <w:p w14:paraId="51441D35" w14:textId="755D28A7" w:rsidR="004A6CCD" w:rsidRPr="002953C6" w:rsidRDefault="004A6CCD" w:rsidP="00633A34">
            <w:pPr>
              <w:pStyle w:val="BodyText"/>
              <w:tabs>
                <w:tab w:val="left" w:pos="540"/>
              </w:tabs>
              <w:autoSpaceDE w:val="0"/>
              <w:autoSpaceDN w:val="0"/>
              <w:adjustRightInd w:val="0"/>
              <w:spacing w:before="120" w:after="0" w:line="240" w:lineRule="auto"/>
              <w:jc w:val="both"/>
              <w:rPr>
                <w:rFonts w:ascii="Univers" w:eastAsiaTheme="minorEastAsia" w:hAnsi="Univers"/>
                <w:sz w:val="14"/>
                <w:szCs w:val="14"/>
              </w:rPr>
            </w:pPr>
            <w:r w:rsidRPr="002953C6">
              <w:rPr>
                <w:rFonts w:ascii="Univers" w:eastAsiaTheme="minorEastAsia" w:hAnsi="Univers"/>
                <w:sz w:val="14"/>
                <w:szCs w:val="14"/>
              </w:rPr>
              <w:t>Morality Certificate</w:t>
            </w:r>
          </w:p>
        </w:tc>
        <w:tc>
          <w:tcPr>
            <w:tcW w:w="1620" w:type="dxa"/>
          </w:tcPr>
          <w:p w14:paraId="3D214D33" w14:textId="6F9CA9BA"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379" w:type="dxa"/>
          </w:tcPr>
          <w:p w14:paraId="081F5D1D" w14:textId="4B170B8E"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411" w:type="dxa"/>
          </w:tcPr>
          <w:p w14:paraId="00AF764C" w14:textId="3D0945DF"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r>
      <w:tr w:rsidR="004A6CCD" w:rsidRPr="008D267B" w14:paraId="4D6AB061" w14:textId="6659F5D5" w:rsidTr="00D32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dxa"/>
          </w:tcPr>
          <w:p w14:paraId="5E68DFCA" w14:textId="404E4DE7" w:rsidR="004A6CCD" w:rsidRPr="002953C6" w:rsidRDefault="004A6CCD" w:rsidP="00633A34">
            <w:pPr>
              <w:rPr>
                <w:rFonts w:ascii="Univers" w:hAnsi="Univers"/>
                <w:sz w:val="14"/>
                <w:szCs w:val="14"/>
              </w:rPr>
            </w:pPr>
            <w:r w:rsidRPr="002953C6">
              <w:rPr>
                <w:rFonts w:ascii="Univers" w:hAnsi="Univers"/>
                <w:sz w:val="14"/>
                <w:szCs w:val="14"/>
              </w:rPr>
              <w:t>Birth Certificate</w:t>
            </w:r>
          </w:p>
          <w:p w14:paraId="5E923858" w14:textId="77777777" w:rsidR="004A6CCD" w:rsidRPr="002953C6" w:rsidRDefault="004A6CCD" w:rsidP="00633A34">
            <w:pPr>
              <w:pStyle w:val="BodyText"/>
              <w:tabs>
                <w:tab w:val="left" w:pos="540"/>
              </w:tabs>
              <w:autoSpaceDE w:val="0"/>
              <w:autoSpaceDN w:val="0"/>
              <w:adjustRightInd w:val="0"/>
              <w:spacing w:before="120" w:after="0" w:line="240" w:lineRule="auto"/>
              <w:jc w:val="both"/>
              <w:rPr>
                <w:rFonts w:ascii="Univers" w:eastAsiaTheme="minorEastAsia" w:hAnsi="Univers"/>
                <w:sz w:val="14"/>
                <w:szCs w:val="14"/>
              </w:rPr>
            </w:pPr>
          </w:p>
        </w:tc>
        <w:tc>
          <w:tcPr>
            <w:tcW w:w="1620" w:type="dxa"/>
          </w:tcPr>
          <w:p w14:paraId="2A8863D5" w14:textId="64402E05"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379" w:type="dxa"/>
          </w:tcPr>
          <w:p w14:paraId="6169DB9E" w14:textId="734D2DAA"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411" w:type="dxa"/>
          </w:tcPr>
          <w:p w14:paraId="2438DD60" w14:textId="10409E6C"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r>
      <w:tr w:rsidR="004A6CCD" w:rsidRPr="008D267B" w14:paraId="7D2F536B" w14:textId="34916785" w:rsidTr="00D322BD">
        <w:trPr>
          <w:jc w:val="center"/>
        </w:trPr>
        <w:tc>
          <w:tcPr>
            <w:cnfStyle w:val="001000000000" w:firstRow="0" w:lastRow="0" w:firstColumn="1" w:lastColumn="0" w:oddVBand="0" w:evenVBand="0" w:oddHBand="0" w:evenHBand="0" w:firstRowFirstColumn="0" w:firstRowLastColumn="0" w:lastRowFirstColumn="0" w:lastRowLastColumn="0"/>
            <w:tcW w:w="1639" w:type="dxa"/>
          </w:tcPr>
          <w:p w14:paraId="2762486D" w14:textId="41B3E705" w:rsidR="004A6CCD" w:rsidRPr="002953C6" w:rsidRDefault="004A6CCD" w:rsidP="00633A34">
            <w:pPr>
              <w:rPr>
                <w:rFonts w:ascii="Univers" w:hAnsi="Univers"/>
                <w:sz w:val="14"/>
                <w:szCs w:val="14"/>
              </w:rPr>
            </w:pPr>
            <w:r w:rsidRPr="002953C6">
              <w:rPr>
                <w:rFonts w:ascii="Univers" w:hAnsi="Univers"/>
                <w:sz w:val="14"/>
                <w:szCs w:val="14"/>
              </w:rPr>
              <w:t xml:space="preserve">Notary </w:t>
            </w:r>
            <w:r w:rsidR="007F40E6" w:rsidRPr="002953C6">
              <w:rPr>
                <w:rFonts w:ascii="Univers" w:hAnsi="Univers"/>
                <w:sz w:val="14"/>
                <w:szCs w:val="14"/>
              </w:rPr>
              <w:t>certificate certifying the ownership of land</w:t>
            </w:r>
          </w:p>
        </w:tc>
        <w:tc>
          <w:tcPr>
            <w:tcW w:w="1620" w:type="dxa"/>
          </w:tcPr>
          <w:p w14:paraId="00815891" w14:textId="6BD0FE34"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379" w:type="dxa"/>
          </w:tcPr>
          <w:p w14:paraId="6C02CA64" w14:textId="6B792616" w:rsidR="004A6CCD" w:rsidRPr="002953C6" w:rsidRDefault="002953C6"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N/A</w:t>
            </w:r>
          </w:p>
        </w:tc>
        <w:tc>
          <w:tcPr>
            <w:tcW w:w="1411" w:type="dxa"/>
          </w:tcPr>
          <w:p w14:paraId="493D2345" w14:textId="439EF5DB" w:rsidR="004A6CCD" w:rsidRPr="002953C6" w:rsidRDefault="002953C6"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N/A</w:t>
            </w:r>
          </w:p>
        </w:tc>
      </w:tr>
      <w:tr w:rsidR="004A6CCD" w:rsidRPr="008D267B" w14:paraId="1170D26C" w14:textId="77777777" w:rsidTr="00D322B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9" w:type="dxa"/>
          </w:tcPr>
          <w:p w14:paraId="299563B0" w14:textId="3D0E06AA" w:rsidR="004A6CCD" w:rsidRPr="002953C6" w:rsidRDefault="007F40E6" w:rsidP="00633A34">
            <w:pPr>
              <w:rPr>
                <w:rFonts w:ascii="Univers" w:hAnsi="Univers"/>
                <w:sz w:val="14"/>
                <w:szCs w:val="14"/>
              </w:rPr>
            </w:pPr>
            <w:r w:rsidRPr="002953C6">
              <w:rPr>
                <w:rFonts w:ascii="Univers" w:hAnsi="Univers"/>
                <w:sz w:val="14"/>
                <w:szCs w:val="14"/>
              </w:rPr>
              <w:t>Lease agreement</w:t>
            </w:r>
          </w:p>
        </w:tc>
        <w:tc>
          <w:tcPr>
            <w:tcW w:w="1620" w:type="dxa"/>
          </w:tcPr>
          <w:p w14:paraId="631E2EE7" w14:textId="22265B78"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N/A</w:t>
            </w:r>
          </w:p>
        </w:tc>
        <w:tc>
          <w:tcPr>
            <w:tcW w:w="1379" w:type="dxa"/>
          </w:tcPr>
          <w:p w14:paraId="17FA3733" w14:textId="0E81D7DB" w:rsidR="004A6CCD" w:rsidRPr="002953C6" w:rsidRDefault="000D6374"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c>
          <w:tcPr>
            <w:tcW w:w="1411" w:type="dxa"/>
          </w:tcPr>
          <w:p w14:paraId="75246CDA" w14:textId="444AB40A" w:rsidR="004A6CCD" w:rsidRPr="002953C6" w:rsidRDefault="002953C6" w:rsidP="00633A34">
            <w:pPr>
              <w:pStyle w:val="BodyText"/>
              <w:tabs>
                <w:tab w:val="left" w:pos="540"/>
              </w:tabs>
              <w:autoSpaceDE w:val="0"/>
              <w:autoSpaceDN w:val="0"/>
              <w:adjustRightInd w:val="0"/>
              <w:spacing w:before="120" w:after="0" w:line="240" w:lineRule="auto"/>
              <w:jc w:val="both"/>
              <w:cnfStyle w:val="000000100000" w:firstRow="0" w:lastRow="0" w:firstColumn="0" w:lastColumn="0" w:oddVBand="0" w:evenVBand="0" w:oddHBand="1"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N/A</w:t>
            </w:r>
          </w:p>
        </w:tc>
      </w:tr>
      <w:tr w:rsidR="004A6CCD" w:rsidRPr="008D267B" w14:paraId="2C07F5F2" w14:textId="77777777" w:rsidTr="00D322BD">
        <w:trPr>
          <w:jc w:val="center"/>
        </w:trPr>
        <w:tc>
          <w:tcPr>
            <w:cnfStyle w:val="001000000000" w:firstRow="0" w:lastRow="0" w:firstColumn="1" w:lastColumn="0" w:oddVBand="0" w:evenVBand="0" w:oddHBand="0" w:evenHBand="0" w:firstRowFirstColumn="0" w:firstRowLastColumn="0" w:lastRowFirstColumn="0" w:lastRowLastColumn="0"/>
            <w:tcW w:w="1639" w:type="dxa"/>
          </w:tcPr>
          <w:p w14:paraId="70ECBFFF" w14:textId="54439172" w:rsidR="004A6CCD" w:rsidRPr="002953C6" w:rsidRDefault="008D267B" w:rsidP="00633A34">
            <w:pPr>
              <w:rPr>
                <w:rFonts w:ascii="Univers" w:hAnsi="Univers"/>
                <w:sz w:val="14"/>
                <w:szCs w:val="14"/>
              </w:rPr>
            </w:pPr>
            <w:r w:rsidRPr="002953C6">
              <w:rPr>
                <w:rFonts w:ascii="Univers" w:hAnsi="Univers"/>
                <w:sz w:val="14"/>
                <w:szCs w:val="14"/>
              </w:rPr>
              <w:t>Notary certificate certifying the ownership of life</w:t>
            </w:r>
            <w:r w:rsidR="002953C6">
              <w:rPr>
                <w:rFonts w:ascii="Univers" w:hAnsi="Univers"/>
                <w:sz w:val="14"/>
                <w:szCs w:val="14"/>
              </w:rPr>
              <w:t xml:space="preserve"> </w:t>
            </w:r>
            <w:r w:rsidRPr="002953C6">
              <w:rPr>
                <w:rFonts w:ascii="Univers" w:hAnsi="Univers"/>
                <w:sz w:val="14"/>
                <w:szCs w:val="14"/>
              </w:rPr>
              <w:t>right</w:t>
            </w:r>
            <w:r w:rsidR="004A6CCD" w:rsidRPr="002953C6">
              <w:rPr>
                <w:rFonts w:ascii="Univers" w:hAnsi="Univers"/>
                <w:sz w:val="14"/>
                <w:szCs w:val="14"/>
              </w:rPr>
              <w:t xml:space="preserve"> </w:t>
            </w:r>
          </w:p>
        </w:tc>
        <w:tc>
          <w:tcPr>
            <w:tcW w:w="1620" w:type="dxa"/>
          </w:tcPr>
          <w:p w14:paraId="458E98DD" w14:textId="6926BF32"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N/A</w:t>
            </w:r>
          </w:p>
        </w:tc>
        <w:tc>
          <w:tcPr>
            <w:tcW w:w="1379" w:type="dxa"/>
          </w:tcPr>
          <w:p w14:paraId="0A8B409D" w14:textId="4E436FE9" w:rsidR="004A6CCD" w:rsidRPr="002953C6" w:rsidRDefault="000D6374"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Univers" w:eastAsiaTheme="minorEastAsia" w:hAnsi="Univers"/>
                <w:sz w:val="14"/>
                <w:szCs w:val="14"/>
              </w:rPr>
              <w:t>N/A</w:t>
            </w:r>
          </w:p>
        </w:tc>
        <w:tc>
          <w:tcPr>
            <w:tcW w:w="1411" w:type="dxa"/>
          </w:tcPr>
          <w:p w14:paraId="1B3A70D9" w14:textId="09F900C5" w:rsidR="004A6CCD" w:rsidRPr="002953C6" w:rsidRDefault="002953C6" w:rsidP="00633A34">
            <w:pPr>
              <w:pStyle w:val="BodyText"/>
              <w:tabs>
                <w:tab w:val="left" w:pos="540"/>
              </w:tabs>
              <w:autoSpaceDE w:val="0"/>
              <w:autoSpaceDN w:val="0"/>
              <w:adjustRightInd w:val="0"/>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ascii="Univers" w:eastAsiaTheme="minorEastAsia" w:hAnsi="Univers"/>
                <w:sz w:val="14"/>
                <w:szCs w:val="14"/>
              </w:rPr>
            </w:pPr>
            <w:r w:rsidRPr="002953C6">
              <w:rPr>
                <w:rFonts w:ascii="Arial" w:hAnsi="Arial" w:cs="Arial"/>
                <w:b/>
                <w:sz w:val="14"/>
                <w:szCs w:val="14"/>
              </w:rPr>
              <w:t>√</w:t>
            </w:r>
          </w:p>
        </w:tc>
      </w:tr>
    </w:tbl>
    <w:p w14:paraId="4FF4EA96" w14:textId="77777777" w:rsidR="00633A34" w:rsidRDefault="00633A34" w:rsidP="00633A34">
      <w:pPr>
        <w:pStyle w:val="BodyText"/>
        <w:tabs>
          <w:tab w:val="left" w:pos="540"/>
        </w:tabs>
        <w:autoSpaceDE w:val="0"/>
        <w:autoSpaceDN w:val="0"/>
        <w:adjustRightInd w:val="0"/>
        <w:spacing w:before="120" w:after="0" w:line="240" w:lineRule="auto"/>
        <w:ind w:left="876"/>
        <w:jc w:val="both"/>
        <w:rPr>
          <w:rFonts w:ascii="Univers" w:eastAsiaTheme="minorEastAsia" w:hAnsi="Univers"/>
          <w:sz w:val="20"/>
          <w:szCs w:val="20"/>
        </w:rPr>
      </w:pPr>
    </w:p>
    <w:p w14:paraId="21526F1A" w14:textId="2693E048" w:rsidR="006F5766" w:rsidRPr="00BE43FC" w:rsidRDefault="00753F58" w:rsidP="005E05AB">
      <w:pPr>
        <w:pStyle w:val="BodyText"/>
        <w:numPr>
          <w:ilvl w:val="0"/>
          <w:numId w:val="34"/>
        </w:numPr>
        <w:autoSpaceDE w:val="0"/>
        <w:autoSpaceDN w:val="0"/>
        <w:adjustRightInd w:val="0"/>
        <w:spacing w:before="120" w:after="0" w:line="360" w:lineRule="auto"/>
        <w:ind w:left="274" w:hanging="274"/>
        <w:jc w:val="both"/>
        <w:rPr>
          <w:rFonts w:ascii="Abadi" w:eastAsiaTheme="minorEastAsia" w:hAnsi="Abadi"/>
          <w:sz w:val="20"/>
          <w:szCs w:val="20"/>
        </w:rPr>
      </w:pPr>
      <w:r w:rsidRPr="00BE43FC">
        <w:rPr>
          <w:rFonts w:ascii="Abadi" w:eastAsiaTheme="minorEastAsia" w:hAnsi="Abadi"/>
          <w:sz w:val="20"/>
          <w:szCs w:val="20"/>
        </w:rPr>
        <w:t>If the applicant is accompanied by dependents (his spouse or common law partner</w:t>
      </w:r>
      <w:r w:rsidR="00BE43FC" w:rsidRPr="00BE43FC">
        <w:rPr>
          <w:rFonts w:ascii="Abadi" w:eastAsiaTheme="minorEastAsia" w:hAnsi="Abadi"/>
          <w:sz w:val="20"/>
          <w:szCs w:val="20"/>
        </w:rPr>
        <w:t>)</w:t>
      </w:r>
      <w:r w:rsidRPr="00BE43FC">
        <w:rPr>
          <w:rFonts w:ascii="Abadi" w:eastAsiaTheme="minorEastAsia" w:hAnsi="Abadi"/>
          <w:sz w:val="20"/>
          <w:szCs w:val="20"/>
        </w:rPr>
        <w:t>, documentary evidence of relationship, i.e. marriage certificate/certificate de concubinage, copy of the first 5 pages of each dependent’s passport, medical certificate of each dependent and morality certificate of spouse must also be submitted.</w:t>
      </w:r>
    </w:p>
    <w:p w14:paraId="3D68BCAC" w14:textId="120FF84F" w:rsidR="00BE43FC" w:rsidRDefault="00BE43FC">
      <w:pPr>
        <w:rPr>
          <w:rFonts w:ascii="Univers" w:hAnsi="Univers"/>
        </w:rPr>
      </w:pPr>
      <w:r>
        <w:rPr>
          <w:rFonts w:ascii="Univers" w:hAnsi="Univers"/>
        </w:rPr>
        <w:br w:type="page"/>
      </w:r>
    </w:p>
    <w:p w14:paraId="09B5B37D" w14:textId="77777777" w:rsidR="000234D9" w:rsidRPr="000C3B14" w:rsidRDefault="000234D9" w:rsidP="000234D9">
      <w:pPr>
        <w:pStyle w:val="BodyText"/>
        <w:autoSpaceDE w:val="0"/>
        <w:autoSpaceDN w:val="0"/>
        <w:adjustRightInd w:val="0"/>
        <w:spacing w:before="120" w:after="0" w:line="360" w:lineRule="auto"/>
        <w:ind w:left="274"/>
        <w:jc w:val="both"/>
        <w:rPr>
          <w:rFonts w:ascii="Univers" w:eastAsiaTheme="minorEastAsia" w:hAnsi="Univers"/>
          <w:sz w:val="20"/>
          <w:szCs w:val="20"/>
        </w:rPr>
      </w:pPr>
    </w:p>
    <w:p w14:paraId="6DA75D31" w14:textId="3B26EC63" w:rsidR="006F5766" w:rsidRDefault="006F5766" w:rsidP="00BE43FC">
      <w:pPr>
        <w:pStyle w:val="Heading1"/>
        <w:spacing w:before="0" w:after="240"/>
        <w:jc w:val="both"/>
        <w:rPr>
          <w:rFonts w:ascii="Univers" w:hAnsi="Univers"/>
          <w:b/>
        </w:rPr>
      </w:pPr>
      <w:bookmarkStart w:id="36" w:name="_Toc73131454"/>
      <w:r>
        <w:rPr>
          <w:rFonts w:ascii="Arial Nova Cond" w:hAnsi="Arial Nova Cond"/>
          <w:b/>
          <w:sz w:val="40"/>
        </w:rPr>
        <w:t xml:space="preserve">part </w:t>
      </w:r>
      <w:r w:rsidR="00075F0F">
        <w:rPr>
          <w:rFonts w:ascii="Arial Nova Cond" w:hAnsi="Arial Nova Cond"/>
          <w:b/>
          <w:sz w:val="40"/>
        </w:rPr>
        <w:t>5</w:t>
      </w:r>
      <w:r w:rsidR="00BE43FC">
        <w:rPr>
          <w:rFonts w:ascii="Arial Nova Cond" w:hAnsi="Arial Nova Cond"/>
          <w:b/>
          <w:sz w:val="40"/>
        </w:rPr>
        <w:t>:</w:t>
      </w:r>
      <w:r>
        <w:rPr>
          <w:rFonts w:ascii="Arial Nova Cond" w:hAnsi="Arial Nova Cond"/>
          <w:b/>
          <w:sz w:val="40"/>
        </w:rPr>
        <w:t xml:space="preserve"> RESALE of </w:t>
      </w:r>
      <w:r w:rsidR="00BE43FC">
        <w:rPr>
          <w:rFonts w:ascii="Arial Nova Cond" w:hAnsi="Arial Nova Cond"/>
          <w:b/>
          <w:sz w:val="40"/>
        </w:rPr>
        <w:t>R</w:t>
      </w:r>
      <w:r>
        <w:rPr>
          <w:rFonts w:ascii="Arial Nova Cond" w:hAnsi="Arial Nova Cond"/>
          <w:b/>
          <w:sz w:val="40"/>
        </w:rPr>
        <w:t>esidential property</w:t>
      </w:r>
      <w:bookmarkEnd w:id="36"/>
    </w:p>
    <w:p w14:paraId="08A823D1" w14:textId="70F2B211" w:rsidR="006F5766" w:rsidRPr="00BE43FC" w:rsidRDefault="006F5766" w:rsidP="005E05AB">
      <w:pPr>
        <w:pStyle w:val="ListParagraph"/>
        <w:numPr>
          <w:ilvl w:val="0"/>
          <w:numId w:val="35"/>
        </w:numPr>
        <w:spacing w:after="0" w:line="240" w:lineRule="auto"/>
        <w:jc w:val="both"/>
        <w:rPr>
          <w:rFonts w:ascii="Abadi" w:hAnsi="Abadi"/>
        </w:rPr>
      </w:pPr>
      <w:r w:rsidRPr="00BE43FC">
        <w:rPr>
          <w:rFonts w:ascii="Abadi" w:hAnsi="Abadi"/>
        </w:rPr>
        <w:t xml:space="preserve">The owner of a residential property is allowed to resell or transfer the </w:t>
      </w:r>
      <w:proofErr w:type="gramStart"/>
      <w:r w:rsidRPr="00BE43FC">
        <w:rPr>
          <w:rFonts w:ascii="Abadi" w:hAnsi="Abadi"/>
        </w:rPr>
        <w:t>property</w:t>
      </w:r>
      <w:proofErr w:type="gramEnd"/>
      <w:r w:rsidRPr="00BE43FC">
        <w:rPr>
          <w:rFonts w:ascii="Abadi" w:hAnsi="Abadi"/>
        </w:rPr>
        <w:t xml:space="preserve"> or any shares, rights or interest acquired under the scheme. </w:t>
      </w:r>
    </w:p>
    <w:p w14:paraId="29A625E5" w14:textId="77777777" w:rsidR="00E9725C" w:rsidRPr="00BE43FC" w:rsidRDefault="00E9725C" w:rsidP="000234D9">
      <w:pPr>
        <w:pStyle w:val="ListParagraph"/>
        <w:spacing w:after="0" w:line="240" w:lineRule="auto"/>
        <w:jc w:val="both"/>
        <w:rPr>
          <w:rFonts w:ascii="Abadi" w:hAnsi="Abadi"/>
        </w:rPr>
      </w:pPr>
    </w:p>
    <w:p w14:paraId="0E4E67D9" w14:textId="2BC4D4C8" w:rsidR="00E9725C" w:rsidRPr="00BE43FC" w:rsidRDefault="00E9725C" w:rsidP="005E05AB">
      <w:pPr>
        <w:pStyle w:val="ListParagraph"/>
        <w:numPr>
          <w:ilvl w:val="0"/>
          <w:numId w:val="35"/>
        </w:numPr>
        <w:spacing w:after="0" w:line="240" w:lineRule="auto"/>
        <w:jc w:val="both"/>
        <w:rPr>
          <w:rFonts w:ascii="Abadi" w:hAnsi="Abadi"/>
        </w:rPr>
      </w:pPr>
      <w:r w:rsidRPr="00BE43FC">
        <w:rPr>
          <w:rFonts w:ascii="Abadi" w:hAnsi="Abadi"/>
        </w:rPr>
        <w:t xml:space="preserve">Where the owner of a residential property intends to sell or transfer the property, he/she is required within 30 days prior to sale, give notice in writing to the Chief Executive Officer of the EDB. A copy of the notice shall be given to the PDS Company for Senior Living. </w:t>
      </w:r>
    </w:p>
    <w:p w14:paraId="2EC3397E" w14:textId="77777777" w:rsidR="00A33440" w:rsidRPr="00BE43FC" w:rsidRDefault="00A33440" w:rsidP="00A33440">
      <w:pPr>
        <w:pStyle w:val="ListParagraph"/>
        <w:rPr>
          <w:rFonts w:ascii="Abadi" w:eastAsia="Times New Roman" w:hAnsi="Abadi" w:cs="Arial"/>
        </w:rPr>
      </w:pPr>
    </w:p>
    <w:p w14:paraId="3923D586" w14:textId="1981B6DA" w:rsidR="00A33440" w:rsidRPr="00BE43FC" w:rsidRDefault="00A33440" w:rsidP="005E05AB">
      <w:pPr>
        <w:pStyle w:val="ListParagraph"/>
        <w:numPr>
          <w:ilvl w:val="0"/>
          <w:numId w:val="35"/>
        </w:numPr>
        <w:spacing w:after="0" w:line="240" w:lineRule="auto"/>
        <w:jc w:val="both"/>
        <w:rPr>
          <w:rFonts w:ascii="Abadi" w:hAnsi="Abadi"/>
        </w:rPr>
      </w:pPr>
      <w:r w:rsidRPr="00BE43FC">
        <w:rPr>
          <w:rFonts w:ascii="Abadi" w:hAnsi="Abadi"/>
        </w:rPr>
        <w:t>The sale or transfer of the residential property can only be made to:</w:t>
      </w:r>
    </w:p>
    <w:p w14:paraId="4CEDCB95" w14:textId="77777777" w:rsidR="00A33440" w:rsidRPr="00BE43FC" w:rsidRDefault="00A33440" w:rsidP="000234D9">
      <w:pPr>
        <w:pStyle w:val="ListParagraph"/>
        <w:spacing w:after="0" w:line="240" w:lineRule="auto"/>
        <w:jc w:val="both"/>
        <w:rPr>
          <w:rFonts w:ascii="Abadi" w:hAnsi="Abadi"/>
        </w:rPr>
      </w:pPr>
    </w:p>
    <w:p w14:paraId="565632DD" w14:textId="77777777" w:rsidR="006F5766" w:rsidRPr="00BE43FC" w:rsidRDefault="006F5766" w:rsidP="005E05AB">
      <w:pPr>
        <w:pStyle w:val="ListParagraph"/>
        <w:numPr>
          <w:ilvl w:val="1"/>
          <w:numId w:val="35"/>
        </w:numPr>
        <w:spacing w:after="0" w:line="240" w:lineRule="auto"/>
        <w:jc w:val="both"/>
        <w:rPr>
          <w:rFonts w:ascii="Abadi" w:hAnsi="Abadi"/>
        </w:rPr>
      </w:pPr>
      <w:r w:rsidRPr="00BE43FC">
        <w:rPr>
          <w:rFonts w:ascii="Abadi" w:hAnsi="Abadi"/>
        </w:rPr>
        <w:t>a natural person, whether a citizen of Mauritius, a non-citizen or a member of the Mauritian Diaspora;</w:t>
      </w:r>
    </w:p>
    <w:p w14:paraId="43EA20C7" w14:textId="77777777" w:rsidR="006F5766" w:rsidRPr="00BE43FC" w:rsidRDefault="006F5766" w:rsidP="005E05AB">
      <w:pPr>
        <w:pStyle w:val="ListParagraph"/>
        <w:numPr>
          <w:ilvl w:val="1"/>
          <w:numId w:val="35"/>
        </w:numPr>
        <w:spacing w:after="0" w:line="240" w:lineRule="auto"/>
        <w:jc w:val="both"/>
        <w:rPr>
          <w:rFonts w:ascii="Abadi" w:hAnsi="Abadi"/>
        </w:rPr>
      </w:pPr>
      <w:r w:rsidRPr="00BE43FC">
        <w:rPr>
          <w:rFonts w:ascii="Abadi" w:hAnsi="Abadi"/>
        </w:rPr>
        <w:t>a company incorporated or registered under the Companies Act;</w:t>
      </w:r>
    </w:p>
    <w:p w14:paraId="07F839A1" w14:textId="77777777" w:rsidR="006F5766" w:rsidRPr="00BE43FC" w:rsidRDefault="006F5766" w:rsidP="005E05AB">
      <w:pPr>
        <w:pStyle w:val="ListParagraph"/>
        <w:numPr>
          <w:ilvl w:val="1"/>
          <w:numId w:val="35"/>
        </w:numPr>
        <w:spacing w:after="0" w:line="240" w:lineRule="auto"/>
        <w:jc w:val="both"/>
        <w:rPr>
          <w:rFonts w:ascii="Abadi" w:hAnsi="Abadi"/>
        </w:rPr>
      </w:pPr>
      <w:r w:rsidRPr="00BE43FC">
        <w:rPr>
          <w:rFonts w:ascii="Abadi" w:hAnsi="Abadi"/>
        </w:rPr>
        <w:t xml:space="preserve">a </w:t>
      </w:r>
      <w:proofErr w:type="spellStart"/>
      <w:r w:rsidRPr="00BE43FC">
        <w:rPr>
          <w:rFonts w:ascii="Abadi" w:hAnsi="Abadi"/>
        </w:rPr>
        <w:t>société</w:t>
      </w:r>
      <w:proofErr w:type="spellEnd"/>
      <w:r w:rsidRPr="00BE43FC">
        <w:rPr>
          <w:rFonts w:ascii="Abadi" w:hAnsi="Abadi"/>
        </w:rPr>
        <w:t>, where its deed of formation is deposited with the registrar of companies;</w:t>
      </w:r>
    </w:p>
    <w:p w14:paraId="58C785F7" w14:textId="77777777" w:rsidR="006F5766" w:rsidRPr="00BE43FC" w:rsidRDefault="006F5766" w:rsidP="005E05AB">
      <w:pPr>
        <w:pStyle w:val="ListParagraph"/>
        <w:numPr>
          <w:ilvl w:val="1"/>
          <w:numId w:val="35"/>
        </w:numPr>
        <w:spacing w:after="0" w:line="240" w:lineRule="auto"/>
        <w:jc w:val="both"/>
        <w:rPr>
          <w:rFonts w:ascii="Abadi" w:hAnsi="Abadi"/>
        </w:rPr>
      </w:pPr>
      <w:r w:rsidRPr="00BE43FC">
        <w:rPr>
          <w:rFonts w:ascii="Abadi" w:hAnsi="Abadi"/>
        </w:rPr>
        <w:t>a limited partnership under the Limited Partnerships Act;</w:t>
      </w:r>
    </w:p>
    <w:p w14:paraId="796B4292" w14:textId="77777777" w:rsidR="006F5766" w:rsidRPr="00BE43FC" w:rsidRDefault="006F5766" w:rsidP="005E05AB">
      <w:pPr>
        <w:pStyle w:val="ListParagraph"/>
        <w:numPr>
          <w:ilvl w:val="1"/>
          <w:numId w:val="35"/>
        </w:numPr>
        <w:spacing w:after="0" w:line="240" w:lineRule="auto"/>
        <w:jc w:val="both"/>
        <w:rPr>
          <w:rFonts w:ascii="Abadi" w:hAnsi="Abadi"/>
        </w:rPr>
      </w:pPr>
      <w:r w:rsidRPr="00BE43FC">
        <w:rPr>
          <w:rFonts w:ascii="Abadi" w:hAnsi="Abadi"/>
        </w:rPr>
        <w:t>a trust, where the trusteeship services are provided by a qualified trustee; or</w:t>
      </w:r>
    </w:p>
    <w:p w14:paraId="22E5E62F" w14:textId="58BFCB1E" w:rsidR="006F5766" w:rsidRPr="00BE43FC" w:rsidRDefault="006F5766" w:rsidP="005E05AB">
      <w:pPr>
        <w:pStyle w:val="ListParagraph"/>
        <w:numPr>
          <w:ilvl w:val="1"/>
          <w:numId w:val="35"/>
        </w:numPr>
        <w:spacing w:after="0" w:line="240" w:lineRule="auto"/>
        <w:jc w:val="both"/>
        <w:rPr>
          <w:rFonts w:ascii="Abadi" w:hAnsi="Abadi"/>
        </w:rPr>
      </w:pPr>
      <w:r w:rsidRPr="00BE43FC">
        <w:rPr>
          <w:rFonts w:ascii="Abadi" w:hAnsi="Abadi"/>
        </w:rPr>
        <w:t>a Foundation.</w:t>
      </w:r>
    </w:p>
    <w:p w14:paraId="50E03230" w14:textId="77777777" w:rsidR="000234D9" w:rsidRPr="00BE43FC" w:rsidRDefault="000234D9" w:rsidP="000234D9">
      <w:pPr>
        <w:pStyle w:val="ListParagraph"/>
        <w:spacing w:after="0" w:line="240" w:lineRule="auto"/>
        <w:ind w:left="1440"/>
        <w:jc w:val="both"/>
        <w:rPr>
          <w:rFonts w:ascii="Abadi" w:hAnsi="Abadi"/>
        </w:rPr>
      </w:pPr>
    </w:p>
    <w:p w14:paraId="68BC5863" w14:textId="494E24D2" w:rsidR="006F5766" w:rsidRPr="00BE43FC" w:rsidRDefault="006F5766" w:rsidP="005E05AB">
      <w:pPr>
        <w:pStyle w:val="ListParagraph"/>
        <w:numPr>
          <w:ilvl w:val="0"/>
          <w:numId w:val="35"/>
        </w:numPr>
        <w:spacing w:after="0" w:line="240" w:lineRule="auto"/>
        <w:jc w:val="both"/>
        <w:rPr>
          <w:rFonts w:ascii="Abadi" w:hAnsi="Abadi"/>
        </w:rPr>
      </w:pPr>
      <w:r w:rsidRPr="00BE43FC">
        <w:rPr>
          <w:rFonts w:ascii="Abadi" w:hAnsi="Abadi"/>
        </w:rPr>
        <w:t xml:space="preserve">The person acquiring the residential property is required to </w:t>
      </w:r>
      <w:proofErr w:type="gramStart"/>
      <w:r w:rsidRPr="00BE43FC">
        <w:rPr>
          <w:rFonts w:ascii="Abadi" w:hAnsi="Abadi"/>
        </w:rPr>
        <w:t>submit an application</w:t>
      </w:r>
      <w:proofErr w:type="gramEnd"/>
      <w:r w:rsidRPr="00BE43FC">
        <w:rPr>
          <w:rFonts w:ascii="Abadi" w:hAnsi="Abadi"/>
        </w:rPr>
        <w:t xml:space="preserve"> as per these guidelines. The application must be accompanied by an attestation of opening a bank account through which money for payment shall be transferred and a non-refundable fee of </w:t>
      </w:r>
      <w:r w:rsidR="00190F4B" w:rsidRPr="00BE43FC">
        <w:rPr>
          <w:rFonts w:ascii="Abadi" w:hAnsi="Abadi"/>
        </w:rPr>
        <w:t>2</w:t>
      </w:r>
      <w:r w:rsidRPr="00BE43FC">
        <w:rPr>
          <w:rFonts w:ascii="Abadi" w:hAnsi="Abadi"/>
        </w:rPr>
        <w:t xml:space="preserve">0, 000 rupees paid by mode of a cheque drawn to the order of the Economic Development Board. </w:t>
      </w:r>
    </w:p>
    <w:p w14:paraId="1C97BA77" w14:textId="77777777" w:rsidR="006F5766" w:rsidRPr="00BE43FC" w:rsidRDefault="006F5766" w:rsidP="006F5766">
      <w:pPr>
        <w:spacing w:line="240" w:lineRule="auto"/>
        <w:jc w:val="both"/>
        <w:rPr>
          <w:rFonts w:ascii="Abadi" w:eastAsia="Times New Roman" w:hAnsi="Abadi" w:cs="Arial"/>
          <w:lang w:val="en-GB"/>
        </w:rPr>
      </w:pPr>
    </w:p>
    <w:p w14:paraId="344246EA" w14:textId="77777777" w:rsidR="006F5766" w:rsidRPr="006F5766" w:rsidRDefault="006F5766" w:rsidP="006F5766">
      <w:pPr>
        <w:pStyle w:val="BodyText"/>
        <w:autoSpaceDE w:val="0"/>
        <w:autoSpaceDN w:val="0"/>
        <w:adjustRightInd w:val="0"/>
        <w:spacing w:before="120" w:line="360" w:lineRule="auto"/>
        <w:jc w:val="both"/>
        <w:rPr>
          <w:rFonts w:ascii="Univers" w:eastAsiaTheme="minorEastAsia" w:hAnsi="Univers"/>
          <w:sz w:val="20"/>
          <w:szCs w:val="20"/>
          <w:lang w:val="en-GB"/>
        </w:rPr>
      </w:pPr>
    </w:p>
    <w:p w14:paraId="7BC8AB68" w14:textId="2E1272DD" w:rsidR="007723E3" w:rsidRPr="007723E3" w:rsidRDefault="007723E3" w:rsidP="00F97633">
      <w:pPr>
        <w:pStyle w:val="BodyText"/>
        <w:tabs>
          <w:tab w:val="left" w:pos="540"/>
        </w:tabs>
        <w:autoSpaceDE w:val="0"/>
        <w:autoSpaceDN w:val="0"/>
        <w:adjustRightInd w:val="0"/>
        <w:spacing w:before="120" w:after="0" w:line="240" w:lineRule="auto"/>
        <w:ind w:left="516"/>
        <w:jc w:val="both"/>
        <w:rPr>
          <w:rFonts w:ascii="Univers" w:eastAsiaTheme="minorEastAsia" w:hAnsi="Univers"/>
          <w:sz w:val="20"/>
          <w:szCs w:val="20"/>
        </w:rPr>
      </w:pPr>
    </w:p>
    <w:sectPr w:rsidR="007723E3" w:rsidRPr="007723E3" w:rsidSect="0031124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8980E" w14:textId="77777777" w:rsidR="00D4023B" w:rsidRDefault="00D4023B" w:rsidP="002322DF">
      <w:pPr>
        <w:spacing w:before="0" w:after="0" w:line="240" w:lineRule="auto"/>
      </w:pPr>
      <w:r>
        <w:separator/>
      </w:r>
    </w:p>
  </w:endnote>
  <w:endnote w:type="continuationSeparator" w:id="0">
    <w:p w14:paraId="6310CA85" w14:textId="77777777" w:rsidR="00D4023B" w:rsidRDefault="00D4023B" w:rsidP="002322D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Cond">
    <w:charset w:val="00"/>
    <w:family w:val="swiss"/>
    <w:pitch w:val="variable"/>
    <w:sig w:usb0="0000028F" w:usb1="00000002" w:usb2="00000000" w:usb3="00000000" w:csb0="0000019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AB69" w14:textId="77777777" w:rsidR="00D4023B" w:rsidRDefault="00D4023B" w:rsidP="002322DF">
      <w:pPr>
        <w:spacing w:before="0" w:after="0" w:line="240" w:lineRule="auto"/>
      </w:pPr>
      <w:r>
        <w:separator/>
      </w:r>
    </w:p>
  </w:footnote>
  <w:footnote w:type="continuationSeparator" w:id="0">
    <w:p w14:paraId="0127ABB3" w14:textId="77777777" w:rsidR="00D4023B" w:rsidRDefault="00D4023B" w:rsidP="002322D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A729B" w14:textId="43E1839B" w:rsidR="00495903" w:rsidRDefault="00495903">
    <w:pPr>
      <w:pStyle w:val="Header"/>
    </w:pPr>
    <w:r>
      <w:rPr>
        <w:noProof/>
      </w:rPr>
      <mc:AlternateContent>
        <mc:Choice Requires="wps">
          <w:drawing>
            <wp:anchor distT="0" distB="0" distL="118745" distR="118745" simplePos="0" relativeHeight="251659264" behindDoc="1" locked="0" layoutInCell="1" allowOverlap="0" wp14:anchorId="3D82BA6F" wp14:editId="5B370818">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2E6332" w14:textId="197D264B" w:rsidR="00495903" w:rsidRDefault="00495903">
                              <w:pPr>
                                <w:pStyle w:val="Header"/>
                                <w:jc w:val="center"/>
                                <w:rPr>
                                  <w:caps/>
                                  <w:color w:val="FFFFFF" w:themeColor="background1"/>
                                </w:rPr>
                              </w:pPr>
                              <w:r>
                                <w:rPr>
                                  <w:caps/>
                                  <w:color w:val="FFFFFF" w:themeColor="background1"/>
                                </w:rPr>
                                <w:t>PDS for senior living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82BA6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" o:allowoverlap="f" fillcolor="#83992a [3204]" stroked="f" strokeweight="1.25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72E6332" w14:textId="197D264B" w:rsidR="00495903" w:rsidRDefault="00495903">
                        <w:pPr>
                          <w:pStyle w:val="Header"/>
                          <w:jc w:val="center"/>
                          <w:rPr>
                            <w:caps/>
                            <w:color w:val="FFFFFF" w:themeColor="background1"/>
                          </w:rPr>
                        </w:pPr>
                        <w:r>
                          <w:rPr>
                            <w:caps/>
                            <w:color w:val="FFFFFF" w:themeColor="background1"/>
                          </w:rPr>
                          <w:t>PDS for senior living</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A2D"/>
    <w:multiLevelType w:val="hybridMultilevel"/>
    <w:tmpl w:val="EBD041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7195"/>
    <w:multiLevelType w:val="hybridMultilevel"/>
    <w:tmpl w:val="6A78E9C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15AF0EA9"/>
    <w:multiLevelType w:val="hybridMultilevel"/>
    <w:tmpl w:val="CE982E10"/>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9E11392"/>
    <w:multiLevelType w:val="multilevel"/>
    <w:tmpl w:val="94FC20F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BF9656E"/>
    <w:multiLevelType w:val="hybridMultilevel"/>
    <w:tmpl w:val="0100BD3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D62002D"/>
    <w:multiLevelType w:val="hybridMultilevel"/>
    <w:tmpl w:val="BEE4B918"/>
    <w:lvl w:ilvl="0" w:tplc="0409000B">
      <w:start w:val="1"/>
      <w:numFmt w:val="bullet"/>
      <w:lvlText w:val=""/>
      <w:lvlJc w:val="left"/>
      <w:pPr>
        <w:ind w:left="1460" w:hanging="360"/>
      </w:pPr>
      <w:rPr>
        <w:rFonts w:ascii="Wingdings" w:hAnsi="Wingdings"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6" w15:restartNumberingAfterBreak="0">
    <w:nsid w:val="205B7508"/>
    <w:multiLevelType w:val="hybridMultilevel"/>
    <w:tmpl w:val="E67A999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0D77EA4"/>
    <w:multiLevelType w:val="hybridMultilevel"/>
    <w:tmpl w:val="69CACA4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17E0A66"/>
    <w:multiLevelType w:val="hybridMultilevel"/>
    <w:tmpl w:val="0E3ED20C"/>
    <w:lvl w:ilvl="0" w:tplc="792AC7AA">
      <w:start w:val="1"/>
      <w:numFmt w:val="decimal"/>
      <w:lvlText w:val="%1."/>
      <w:lvlJc w:val="left"/>
      <w:pPr>
        <w:tabs>
          <w:tab w:val="num" w:pos="360"/>
        </w:tabs>
        <w:ind w:left="360" w:hanging="360"/>
      </w:pPr>
      <w:rPr>
        <w:rFonts w:hint="default"/>
      </w:rPr>
    </w:lvl>
    <w:lvl w:ilvl="1" w:tplc="A954753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rPr>
        <w:rFonts w:hint="default"/>
      </w:rPr>
    </w:lvl>
    <w:lvl w:ilvl="3" w:tplc="DD106838">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332F9C"/>
    <w:multiLevelType w:val="multilevel"/>
    <w:tmpl w:val="56845ED0"/>
    <w:lvl w:ilvl="0">
      <w:start w:val="1"/>
      <w:numFmt w:val="decimal"/>
      <w:lvlText w:val="%1"/>
      <w:lvlJc w:val="left"/>
      <w:pPr>
        <w:ind w:left="380" w:hanging="380"/>
      </w:pPr>
      <w:rPr>
        <w:rFonts w:hint="default"/>
      </w:rPr>
    </w:lvl>
    <w:lvl w:ilvl="1">
      <w:start w:val="1"/>
      <w:numFmt w:val="decimal"/>
      <w:lvlText w:val="%1.%2"/>
      <w:lvlJc w:val="left"/>
      <w:pPr>
        <w:ind w:left="65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1133F6"/>
    <w:multiLevelType w:val="multilevel"/>
    <w:tmpl w:val="45B23BA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2D2AE3"/>
    <w:multiLevelType w:val="multilevel"/>
    <w:tmpl w:val="97B697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08B78CF"/>
    <w:multiLevelType w:val="multilevel"/>
    <w:tmpl w:val="C498AADC"/>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287724"/>
    <w:multiLevelType w:val="multilevel"/>
    <w:tmpl w:val="CEBE0B9E"/>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6D3943"/>
    <w:multiLevelType w:val="hybridMultilevel"/>
    <w:tmpl w:val="E21AC2EE"/>
    <w:lvl w:ilvl="0" w:tplc="0409000B">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5317E"/>
    <w:multiLevelType w:val="hybridMultilevel"/>
    <w:tmpl w:val="4ED0D936"/>
    <w:lvl w:ilvl="0" w:tplc="C2AA73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50486"/>
    <w:multiLevelType w:val="hybridMultilevel"/>
    <w:tmpl w:val="520E4D04"/>
    <w:lvl w:ilvl="0" w:tplc="A7EA27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827AA"/>
    <w:multiLevelType w:val="multilevel"/>
    <w:tmpl w:val="CA32622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7A0423D"/>
    <w:multiLevelType w:val="hybridMultilevel"/>
    <w:tmpl w:val="AAA60FDA"/>
    <w:lvl w:ilvl="0" w:tplc="B4F0E2A6">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15:restartNumberingAfterBreak="0">
    <w:nsid w:val="37FF790C"/>
    <w:multiLevelType w:val="hybridMultilevel"/>
    <w:tmpl w:val="E65290A6"/>
    <w:lvl w:ilvl="0" w:tplc="7624DF58">
      <w:start w:val="1"/>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15:restartNumberingAfterBreak="0">
    <w:nsid w:val="39D42688"/>
    <w:multiLevelType w:val="hybridMultilevel"/>
    <w:tmpl w:val="DF401E4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AE80660"/>
    <w:multiLevelType w:val="hybridMultilevel"/>
    <w:tmpl w:val="6F9E7AE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BA04DD"/>
    <w:multiLevelType w:val="hybridMultilevel"/>
    <w:tmpl w:val="097C4808"/>
    <w:lvl w:ilvl="0" w:tplc="F2A8B50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1C4BC9"/>
    <w:multiLevelType w:val="hybridMultilevel"/>
    <w:tmpl w:val="223A906E"/>
    <w:lvl w:ilvl="0" w:tplc="217C1C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C0B12"/>
    <w:multiLevelType w:val="hybridMultilevel"/>
    <w:tmpl w:val="BAAE4D5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2237A"/>
    <w:multiLevelType w:val="hybridMultilevel"/>
    <w:tmpl w:val="1B722B98"/>
    <w:lvl w:ilvl="0" w:tplc="EDDA7DE2">
      <w:start w:val="1"/>
      <w:numFmt w:val="lowerLetter"/>
      <w:lvlText w:val="%1."/>
      <w:lvlJc w:val="left"/>
      <w:pPr>
        <w:tabs>
          <w:tab w:val="num" w:pos="1080"/>
        </w:tabs>
        <w:ind w:left="1080" w:hanging="360"/>
      </w:pPr>
      <w:rPr>
        <w:rFonts w:hint="default"/>
      </w:rPr>
    </w:lvl>
    <w:lvl w:ilvl="1" w:tplc="EE3289CA">
      <w:start w:val="1"/>
      <w:numFmt w:val="lowerLetter"/>
      <w:lvlText w:val="%2."/>
      <w:lvlJc w:val="left"/>
      <w:pPr>
        <w:tabs>
          <w:tab w:val="num" w:pos="540"/>
        </w:tabs>
        <w:ind w:left="540" w:hanging="720"/>
      </w:pPr>
      <w:rPr>
        <w:rFonts w:hint="default"/>
      </w:rPr>
    </w:lvl>
    <w:lvl w:ilvl="2" w:tplc="0409001B">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6" w15:restartNumberingAfterBreak="0">
    <w:nsid w:val="46E50E4B"/>
    <w:multiLevelType w:val="hybridMultilevel"/>
    <w:tmpl w:val="4D24D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4146AC"/>
    <w:multiLevelType w:val="hybridMultilevel"/>
    <w:tmpl w:val="FF3A03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373BBA"/>
    <w:multiLevelType w:val="multilevel"/>
    <w:tmpl w:val="1608B076"/>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F497C7D"/>
    <w:multiLevelType w:val="hybridMultilevel"/>
    <w:tmpl w:val="21C60A04"/>
    <w:lvl w:ilvl="0" w:tplc="0409000F">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F8B5E18"/>
    <w:multiLevelType w:val="hybridMultilevel"/>
    <w:tmpl w:val="0F4C1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A06F6"/>
    <w:multiLevelType w:val="multilevel"/>
    <w:tmpl w:val="94FC20F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6EE234E"/>
    <w:multiLevelType w:val="hybridMultilevel"/>
    <w:tmpl w:val="E1AE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20DF1"/>
    <w:multiLevelType w:val="hybridMultilevel"/>
    <w:tmpl w:val="0100BD3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612C0F42"/>
    <w:multiLevelType w:val="multilevel"/>
    <w:tmpl w:val="1EDE89B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6759FF"/>
    <w:multiLevelType w:val="hybridMultilevel"/>
    <w:tmpl w:val="14BA81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126CC0"/>
    <w:multiLevelType w:val="hybridMultilevel"/>
    <w:tmpl w:val="B08EAE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646BA"/>
    <w:multiLevelType w:val="multilevel"/>
    <w:tmpl w:val="3B50C1FE"/>
    <w:lvl w:ilvl="0">
      <w:start w:val="3"/>
      <w:numFmt w:val="decimal"/>
      <w:lvlText w:val="%1"/>
      <w:lvlJc w:val="left"/>
      <w:pPr>
        <w:ind w:left="444" w:hanging="444"/>
      </w:pPr>
      <w:rPr>
        <w:rFonts w:hint="default"/>
      </w:rPr>
    </w:lvl>
    <w:lvl w:ilvl="1">
      <w:start w:val="2"/>
      <w:numFmt w:val="decimal"/>
      <w:lvlText w:val="%1.%2.0"/>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5D703E"/>
    <w:multiLevelType w:val="hybridMultilevel"/>
    <w:tmpl w:val="8354B666"/>
    <w:lvl w:ilvl="0" w:tplc="20000017">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9" w15:restartNumberingAfterBreak="0">
    <w:nsid w:val="6C7B7453"/>
    <w:multiLevelType w:val="multilevel"/>
    <w:tmpl w:val="CD9C7C5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D0E0DB3"/>
    <w:multiLevelType w:val="multilevel"/>
    <w:tmpl w:val="8286B94A"/>
    <w:lvl w:ilvl="0">
      <w:start w:val="7"/>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1" w15:restartNumberingAfterBreak="0">
    <w:nsid w:val="6F73574D"/>
    <w:multiLevelType w:val="multilevel"/>
    <w:tmpl w:val="94FC20F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71A0593B"/>
    <w:multiLevelType w:val="hybridMultilevel"/>
    <w:tmpl w:val="F1387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2807"/>
    <w:multiLevelType w:val="hybridMultilevel"/>
    <w:tmpl w:val="DCEA9F42"/>
    <w:lvl w:ilvl="0" w:tplc="260049C8">
      <w:start w:val="1"/>
      <w:numFmt w:val="decimal"/>
      <w:lvlText w:val="%1."/>
      <w:lvlJc w:val="left"/>
      <w:pPr>
        <w:ind w:left="360" w:hanging="360"/>
      </w:pPr>
      <w:rPr>
        <w:rFonts w:asciiTheme="minorHAnsi" w:eastAsiaTheme="minorEastAsia" w:hAnsiTheme="minorHAnsi" w:cstheme="minorBidi" w:hint="default"/>
        <w:b/>
        <w:color w:val="61721F" w:themeColor="accent1" w:themeShade="BF"/>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9A61D3"/>
    <w:multiLevelType w:val="hybridMultilevel"/>
    <w:tmpl w:val="520E4D04"/>
    <w:lvl w:ilvl="0" w:tplc="A7EA27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DF3C70"/>
    <w:multiLevelType w:val="hybridMultilevel"/>
    <w:tmpl w:val="45507D8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EEC70D3"/>
    <w:multiLevelType w:val="multilevel"/>
    <w:tmpl w:val="53E845A0"/>
    <w:lvl w:ilvl="0">
      <w:start w:val="3"/>
      <w:numFmt w:val="decimal"/>
      <w:lvlText w:val="%1"/>
      <w:lvlJc w:val="left"/>
      <w:pPr>
        <w:ind w:left="36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34"/>
  </w:num>
  <w:num w:numId="2">
    <w:abstractNumId w:val="9"/>
  </w:num>
  <w:num w:numId="3">
    <w:abstractNumId w:val="38"/>
  </w:num>
  <w:num w:numId="4">
    <w:abstractNumId w:val="8"/>
  </w:num>
  <w:num w:numId="5">
    <w:abstractNumId w:val="25"/>
  </w:num>
  <w:num w:numId="6">
    <w:abstractNumId w:val="45"/>
  </w:num>
  <w:num w:numId="7">
    <w:abstractNumId w:val="22"/>
  </w:num>
  <w:num w:numId="8">
    <w:abstractNumId w:val="2"/>
  </w:num>
  <w:num w:numId="9">
    <w:abstractNumId w:val="33"/>
  </w:num>
  <w:num w:numId="10">
    <w:abstractNumId w:val="4"/>
  </w:num>
  <w:num w:numId="11">
    <w:abstractNumId w:val="7"/>
  </w:num>
  <w:num w:numId="12">
    <w:abstractNumId w:val="15"/>
  </w:num>
  <w:num w:numId="13">
    <w:abstractNumId w:val="20"/>
  </w:num>
  <w:num w:numId="14">
    <w:abstractNumId w:val="0"/>
  </w:num>
  <w:num w:numId="15">
    <w:abstractNumId w:val="24"/>
  </w:num>
  <w:num w:numId="16">
    <w:abstractNumId w:val="42"/>
  </w:num>
  <w:num w:numId="17">
    <w:abstractNumId w:val="30"/>
  </w:num>
  <w:num w:numId="18">
    <w:abstractNumId w:val="21"/>
  </w:num>
  <w:num w:numId="19">
    <w:abstractNumId w:val="36"/>
  </w:num>
  <w:num w:numId="20">
    <w:abstractNumId w:val="44"/>
  </w:num>
  <w:num w:numId="21">
    <w:abstractNumId w:val="16"/>
  </w:num>
  <w:num w:numId="22">
    <w:abstractNumId w:val="14"/>
  </w:num>
  <w:num w:numId="23">
    <w:abstractNumId w:val="27"/>
  </w:num>
  <w:num w:numId="24">
    <w:abstractNumId w:val="6"/>
  </w:num>
  <w:num w:numId="25">
    <w:abstractNumId w:val="29"/>
  </w:num>
  <w:num w:numId="26">
    <w:abstractNumId w:val="18"/>
  </w:num>
  <w:num w:numId="27">
    <w:abstractNumId w:val="19"/>
  </w:num>
  <w:num w:numId="28">
    <w:abstractNumId w:val="5"/>
  </w:num>
  <w:num w:numId="29">
    <w:abstractNumId w:val="32"/>
  </w:num>
  <w:num w:numId="30">
    <w:abstractNumId w:val="23"/>
  </w:num>
  <w:num w:numId="31">
    <w:abstractNumId w:val="26"/>
  </w:num>
  <w:num w:numId="32">
    <w:abstractNumId w:val="40"/>
  </w:num>
  <w:num w:numId="33">
    <w:abstractNumId w:val="1"/>
  </w:num>
  <w:num w:numId="34">
    <w:abstractNumId w:val="43"/>
  </w:num>
  <w:num w:numId="35">
    <w:abstractNumId w:val="35"/>
  </w:num>
  <w:num w:numId="36">
    <w:abstractNumId w:val="11"/>
  </w:num>
  <w:num w:numId="37">
    <w:abstractNumId w:val="3"/>
  </w:num>
  <w:num w:numId="38">
    <w:abstractNumId w:val="17"/>
  </w:num>
  <w:num w:numId="39">
    <w:abstractNumId w:val="39"/>
  </w:num>
  <w:num w:numId="40">
    <w:abstractNumId w:val="28"/>
  </w:num>
  <w:num w:numId="41">
    <w:abstractNumId w:val="13"/>
  </w:num>
  <w:num w:numId="42">
    <w:abstractNumId w:val="12"/>
  </w:num>
  <w:num w:numId="43">
    <w:abstractNumId w:val="37"/>
  </w:num>
  <w:num w:numId="44">
    <w:abstractNumId w:val="10"/>
  </w:num>
  <w:num w:numId="45">
    <w:abstractNumId w:val="31"/>
  </w:num>
  <w:num w:numId="46">
    <w:abstractNumId w:val="41"/>
  </w:num>
  <w:num w:numId="47">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670"/>
    <w:rsid w:val="00022735"/>
    <w:rsid w:val="00022853"/>
    <w:rsid w:val="000234D9"/>
    <w:rsid w:val="000756E7"/>
    <w:rsid w:val="00075F0F"/>
    <w:rsid w:val="000B7470"/>
    <w:rsid w:val="000C3B14"/>
    <w:rsid w:val="000D6374"/>
    <w:rsid w:val="000F095C"/>
    <w:rsid w:val="00162F24"/>
    <w:rsid w:val="00175525"/>
    <w:rsid w:val="00186DD2"/>
    <w:rsid w:val="00190F4B"/>
    <w:rsid w:val="001B2339"/>
    <w:rsid w:val="00213D3C"/>
    <w:rsid w:val="00215A00"/>
    <w:rsid w:val="002322DF"/>
    <w:rsid w:val="0023422A"/>
    <w:rsid w:val="002622BD"/>
    <w:rsid w:val="002717AF"/>
    <w:rsid w:val="00273492"/>
    <w:rsid w:val="002953C6"/>
    <w:rsid w:val="002A3516"/>
    <w:rsid w:val="002D27E4"/>
    <w:rsid w:val="002E3A1E"/>
    <w:rsid w:val="00306934"/>
    <w:rsid w:val="00311244"/>
    <w:rsid w:val="00326888"/>
    <w:rsid w:val="00354510"/>
    <w:rsid w:val="00357389"/>
    <w:rsid w:val="00385B8E"/>
    <w:rsid w:val="00396FC7"/>
    <w:rsid w:val="003F6561"/>
    <w:rsid w:val="0042703C"/>
    <w:rsid w:val="00470670"/>
    <w:rsid w:val="004956C3"/>
    <w:rsid w:val="00495903"/>
    <w:rsid w:val="004A6CCD"/>
    <w:rsid w:val="004F7571"/>
    <w:rsid w:val="00503E3C"/>
    <w:rsid w:val="00515A5D"/>
    <w:rsid w:val="0053776B"/>
    <w:rsid w:val="005401BE"/>
    <w:rsid w:val="00544438"/>
    <w:rsid w:val="00561AA8"/>
    <w:rsid w:val="0057405B"/>
    <w:rsid w:val="005A4F00"/>
    <w:rsid w:val="005C6AC3"/>
    <w:rsid w:val="005E05AB"/>
    <w:rsid w:val="005E0C3B"/>
    <w:rsid w:val="005E5F8C"/>
    <w:rsid w:val="005F7B68"/>
    <w:rsid w:val="00602C66"/>
    <w:rsid w:val="0060571B"/>
    <w:rsid w:val="00622172"/>
    <w:rsid w:val="006245FC"/>
    <w:rsid w:val="00633A34"/>
    <w:rsid w:val="00637753"/>
    <w:rsid w:val="006B7805"/>
    <w:rsid w:val="006C7176"/>
    <w:rsid w:val="006F5766"/>
    <w:rsid w:val="00701E0E"/>
    <w:rsid w:val="00710A9A"/>
    <w:rsid w:val="00731BFF"/>
    <w:rsid w:val="0073537B"/>
    <w:rsid w:val="00736470"/>
    <w:rsid w:val="0074721C"/>
    <w:rsid w:val="00753F58"/>
    <w:rsid w:val="007723E3"/>
    <w:rsid w:val="007852AE"/>
    <w:rsid w:val="007D1E1B"/>
    <w:rsid w:val="007D78C4"/>
    <w:rsid w:val="007F40E6"/>
    <w:rsid w:val="00813A7F"/>
    <w:rsid w:val="00832FE4"/>
    <w:rsid w:val="00842B90"/>
    <w:rsid w:val="00844BFF"/>
    <w:rsid w:val="00866A6E"/>
    <w:rsid w:val="008B2FBD"/>
    <w:rsid w:val="008C5011"/>
    <w:rsid w:val="008D267B"/>
    <w:rsid w:val="00901B8C"/>
    <w:rsid w:val="00902223"/>
    <w:rsid w:val="00913FAA"/>
    <w:rsid w:val="00963CD2"/>
    <w:rsid w:val="009857B7"/>
    <w:rsid w:val="009A58C0"/>
    <w:rsid w:val="009C04AC"/>
    <w:rsid w:val="009C50E4"/>
    <w:rsid w:val="009E3F76"/>
    <w:rsid w:val="009E7676"/>
    <w:rsid w:val="00A125AC"/>
    <w:rsid w:val="00A33440"/>
    <w:rsid w:val="00A76EEE"/>
    <w:rsid w:val="00A85EB5"/>
    <w:rsid w:val="00A939D4"/>
    <w:rsid w:val="00AD18CF"/>
    <w:rsid w:val="00B052DF"/>
    <w:rsid w:val="00B13615"/>
    <w:rsid w:val="00B16321"/>
    <w:rsid w:val="00B23D83"/>
    <w:rsid w:val="00B452B1"/>
    <w:rsid w:val="00B62E48"/>
    <w:rsid w:val="00B6503F"/>
    <w:rsid w:val="00B802C5"/>
    <w:rsid w:val="00B81DE9"/>
    <w:rsid w:val="00BA13FD"/>
    <w:rsid w:val="00BA43C2"/>
    <w:rsid w:val="00BB4E56"/>
    <w:rsid w:val="00BC5361"/>
    <w:rsid w:val="00BE43FC"/>
    <w:rsid w:val="00BE4A35"/>
    <w:rsid w:val="00BE70A2"/>
    <w:rsid w:val="00BF1713"/>
    <w:rsid w:val="00BF489A"/>
    <w:rsid w:val="00C00ED7"/>
    <w:rsid w:val="00C47423"/>
    <w:rsid w:val="00C627AA"/>
    <w:rsid w:val="00C63D1E"/>
    <w:rsid w:val="00CB1C8A"/>
    <w:rsid w:val="00CF0DCC"/>
    <w:rsid w:val="00D05E7E"/>
    <w:rsid w:val="00D109CE"/>
    <w:rsid w:val="00D17DB4"/>
    <w:rsid w:val="00D322BD"/>
    <w:rsid w:val="00D4023B"/>
    <w:rsid w:val="00D466FD"/>
    <w:rsid w:val="00D71611"/>
    <w:rsid w:val="00D73047"/>
    <w:rsid w:val="00DA46ED"/>
    <w:rsid w:val="00DF1B9C"/>
    <w:rsid w:val="00DF4EBF"/>
    <w:rsid w:val="00E03D28"/>
    <w:rsid w:val="00E15A04"/>
    <w:rsid w:val="00E30C80"/>
    <w:rsid w:val="00E55808"/>
    <w:rsid w:val="00E9725C"/>
    <w:rsid w:val="00F747FB"/>
    <w:rsid w:val="00F74AEB"/>
    <w:rsid w:val="00F907F8"/>
    <w:rsid w:val="00F97633"/>
    <w:rsid w:val="00FA10A0"/>
    <w:rsid w:val="00FB4C36"/>
    <w:rsid w:val="00FC50CE"/>
    <w:rsid w:val="00FF0C65"/>
    <w:rsid w:val="00FF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36C0"/>
  <w15:chartTrackingRefBased/>
  <w15:docId w15:val="{130041B1-6621-47A8-A14F-B1AF28B9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244"/>
  </w:style>
  <w:style w:type="paragraph" w:styleId="Heading1">
    <w:name w:val="heading 1"/>
    <w:basedOn w:val="Normal"/>
    <w:next w:val="Normal"/>
    <w:link w:val="Heading1Char"/>
    <w:uiPriority w:val="9"/>
    <w:qFormat/>
    <w:rsid w:val="00311244"/>
    <w:pPr>
      <w:pBdr>
        <w:top w:val="single" w:sz="24" w:space="0" w:color="83992A" w:themeColor="accent1"/>
        <w:left w:val="single" w:sz="24" w:space="0" w:color="83992A" w:themeColor="accent1"/>
        <w:bottom w:val="single" w:sz="24" w:space="0" w:color="83992A" w:themeColor="accent1"/>
        <w:right w:val="single" w:sz="24" w:space="0" w:color="83992A" w:themeColor="accent1"/>
      </w:pBdr>
      <w:shd w:val="clear" w:color="auto" w:fill="83992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11244"/>
    <w:pPr>
      <w:pBdr>
        <w:top w:val="single" w:sz="24" w:space="0" w:color="EAF1CD" w:themeColor="accent1" w:themeTint="33"/>
        <w:left w:val="single" w:sz="24" w:space="0" w:color="EAF1CD" w:themeColor="accent1" w:themeTint="33"/>
        <w:bottom w:val="single" w:sz="24" w:space="0" w:color="EAF1CD" w:themeColor="accent1" w:themeTint="33"/>
        <w:right w:val="single" w:sz="24" w:space="0" w:color="EAF1CD" w:themeColor="accent1" w:themeTint="33"/>
      </w:pBdr>
      <w:shd w:val="clear" w:color="auto" w:fill="EAF1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11244"/>
    <w:pPr>
      <w:pBdr>
        <w:top w:val="single" w:sz="6" w:space="2" w:color="83992A" w:themeColor="accent1"/>
      </w:pBdr>
      <w:spacing w:before="300" w:after="0"/>
      <w:outlineLvl w:val="2"/>
    </w:pPr>
    <w:rPr>
      <w:caps/>
      <w:color w:val="414C15" w:themeColor="accent1" w:themeShade="7F"/>
      <w:spacing w:val="15"/>
    </w:rPr>
  </w:style>
  <w:style w:type="paragraph" w:styleId="Heading4">
    <w:name w:val="heading 4"/>
    <w:basedOn w:val="Normal"/>
    <w:next w:val="Normal"/>
    <w:link w:val="Heading4Char"/>
    <w:uiPriority w:val="9"/>
    <w:semiHidden/>
    <w:unhideWhenUsed/>
    <w:qFormat/>
    <w:rsid w:val="00311244"/>
    <w:pPr>
      <w:pBdr>
        <w:top w:val="dotted" w:sz="6" w:space="2" w:color="83992A" w:themeColor="accent1"/>
      </w:pBdr>
      <w:spacing w:before="200" w:after="0"/>
      <w:outlineLvl w:val="3"/>
    </w:pPr>
    <w:rPr>
      <w:caps/>
      <w:color w:val="61721F" w:themeColor="accent1" w:themeShade="BF"/>
      <w:spacing w:val="10"/>
    </w:rPr>
  </w:style>
  <w:style w:type="paragraph" w:styleId="Heading5">
    <w:name w:val="heading 5"/>
    <w:basedOn w:val="Normal"/>
    <w:next w:val="Normal"/>
    <w:link w:val="Heading5Char"/>
    <w:uiPriority w:val="9"/>
    <w:semiHidden/>
    <w:unhideWhenUsed/>
    <w:qFormat/>
    <w:rsid w:val="00311244"/>
    <w:pPr>
      <w:pBdr>
        <w:bottom w:val="single" w:sz="6" w:space="1" w:color="83992A" w:themeColor="accent1"/>
      </w:pBdr>
      <w:spacing w:before="200" w:after="0"/>
      <w:outlineLvl w:val="4"/>
    </w:pPr>
    <w:rPr>
      <w:caps/>
      <w:color w:val="61721F" w:themeColor="accent1" w:themeShade="BF"/>
      <w:spacing w:val="10"/>
    </w:rPr>
  </w:style>
  <w:style w:type="paragraph" w:styleId="Heading6">
    <w:name w:val="heading 6"/>
    <w:basedOn w:val="Normal"/>
    <w:next w:val="Normal"/>
    <w:link w:val="Heading6Char"/>
    <w:uiPriority w:val="9"/>
    <w:semiHidden/>
    <w:unhideWhenUsed/>
    <w:qFormat/>
    <w:rsid w:val="00311244"/>
    <w:pPr>
      <w:pBdr>
        <w:bottom w:val="dotted" w:sz="6" w:space="1" w:color="83992A" w:themeColor="accent1"/>
      </w:pBdr>
      <w:spacing w:before="200" w:after="0"/>
      <w:outlineLvl w:val="5"/>
    </w:pPr>
    <w:rPr>
      <w:caps/>
      <w:color w:val="61721F" w:themeColor="accent1" w:themeShade="BF"/>
      <w:spacing w:val="10"/>
    </w:rPr>
  </w:style>
  <w:style w:type="paragraph" w:styleId="Heading7">
    <w:name w:val="heading 7"/>
    <w:basedOn w:val="Normal"/>
    <w:next w:val="Normal"/>
    <w:link w:val="Heading7Char"/>
    <w:uiPriority w:val="9"/>
    <w:semiHidden/>
    <w:unhideWhenUsed/>
    <w:qFormat/>
    <w:rsid w:val="00311244"/>
    <w:pPr>
      <w:spacing w:before="200" w:after="0"/>
      <w:outlineLvl w:val="6"/>
    </w:pPr>
    <w:rPr>
      <w:caps/>
      <w:color w:val="61721F" w:themeColor="accent1" w:themeShade="BF"/>
      <w:spacing w:val="10"/>
    </w:rPr>
  </w:style>
  <w:style w:type="paragraph" w:styleId="Heading8">
    <w:name w:val="heading 8"/>
    <w:basedOn w:val="Normal"/>
    <w:next w:val="Normal"/>
    <w:link w:val="Heading8Char"/>
    <w:uiPriority w:val="9"/>
    <w:semiHidden/>
    <w:unhideWhenUsed/>
    <w:qFormat/>
    <w:rsid w:val="003112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112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244"/>
    <w:rPr>
      <w:caps/>
      <w:color w:val="FFFFFF" w:themeColor="background1"/>
      <w:spacing w:val="15"/>
      <w:sz w:val="22"/>
      <w:szCs w:val="22"/>
      <w:shd w:val="clear" w:color="auto" w:fill="83992A" w:themeFill="accent1"/>
    </w:rPr>
  </w:style>
  <w:style w:type="paragraph" w:styleId="IntenseQuote">
    <w:name w:val="Intense Quote"/>
    <w:basedOn w:val="Normal"/>
    <w:next w:val="Normal"/>
    <w:link w:val="IntenseQuoteChar"/>
    <w:uiPriority w:val="30"/>
    <w:qFormat/>
    <w:rsid w:val="00311244"/>
    <w:pPr>
      <w:spacing w:before="240" w:after="240" w:line="240" w:lineRule="auto"/>
      <w:ind w:left="1080" w:right="1080"/>
      <w:jc w:val="center"/>
    </w:pPr>
    <w:rPr>
      <w:color w:val="83992A" w:themeColor="accent1"/>
      <w:sz w:val="24"/>
      <w:szCs w:val="24"/>
    </w:rPr>
  </w:style>
  <w:style w:type="character" w:customStyle="1" w:styleId="IntenseQuoteChar">
    <w:name w:val="Intense Quote Char"/>
    <w:basedOn w:val="DefaultParagraphFont"/>
    <w:link w:val="IntenseQuote"/>
    <w:uiPriority w:val="30"/>
    <w:rsid w:val="00311244"/>
    <w:rPr>
      <w:color w:val="83992A" w:themeColor="accent1"/>
      <w:sz w:val="24"/>
      <w:szCs w:val="24"/>
    </w:rPr>
  </w:style>
  <w:style w:type="paragraph" w:customStyle="1" w:styleId="Style1">
    <w:name w:val="Style1"/>
    <w:basedOn w:val="Heading1"/>
    <w:link w:val="Style1Char"/>
    <w:rsid w:val="0057405B"/>
    <w:rPr>
      <w:b/>
      <w:i/>
      <w:sz w:val="32"/>
    </w:rPr>
  </w:style>
  <w:style w:type="character" w:customStyle="1" w:styleId="Heading2Char">
    <w:name w:val="Heading 2 Char"/>
    <w:basedOn w:val="DefaultParagraphFont"/>
    <w:link w:val="Heading2"/>
    <w:uiPriority w:val="9"/>
    <w:rsid w:val="00311244"/>
    <w:rPr>
      <w:caps/>
      <w:spacing w:val="15"/>
      <w:shd w:val="clear" w:color="auto" w:fill="EAF1CD" w:themeFill="accent1" w:themeFillTint="33"/>
    </w:rPr>
  </w:style>
  <w:style w:type="character" w:customStyle="1" w:styleId="Style1Char">
    <w:name w:val="Style1 Char"/>
    <w:basedOn w:val="Heading1Char"/>
    <w:link w:val="Style1"/>
    <w:rsid w:val="0057405B"/>
    <w:rPr>
      <w:b/>
      <w:i/>
      <w:caps/>
      <w:color w:val="FFFFFF" w:themeColor="background1"/>
      <w:spacing w:val="15"/>
      <w:sz w:val="22"/>
      <w:szCs w:val="22"/>
      <w:shd w:val="clear" w:color="auto" w:fill="83992A" w:themeFill="accent1"/>
      <w:lang w:val="en-US"/>
    </w:rPr>
  </w:style>
  <w:style w:type="paragraph" w:styleId="ListParagraph">
    <w:name w:val="List Paragraph"/>
    <w:basedOn w:val="Normal"/>
    <w:uiPriority w:val="34"/>
    <w:qFormat/>
    <w:rsid w:val="002A3516"/>
    <w:pPr>
      <w:ind w:left="720"/>
      <w:contextualSpacing/>
    </w:pPr>
  </w:style>
  <w:style w:type="character" w:customStyle="1" w:styleId="Heading3Char">
    <w:name w:val="Heading 3 Char"/>
    <w:basedOn w:val="DefaultParagraphFont"/>
    <w:link w:val="Heading3"/>
    <w:uiPriority w:val="9"/>
    <w:rsid w:val="00311244"/>
    <w:rPr>
      <w:caps/>
      <w:color w:val="414C15" w:themeColor="accent1" w:themeShade="7F"/>
      <w:spacing w:val="15"/>
    </w:rPr>
  </w:style>
  <w:style w:type="character" w:customStyle="1" w:styleId="Heading4Char">
    <w:name w:val="Heading 4 Char"/>
    <w:basedOn w:val="DefaultParagraphFont"/>
    <w:link w:val="Heading4"/>
    <w:uiPriority w:val="9"/>
    <w:semiHidden/>
    <w:rsid w:val="00311244"/>
    <w:rPr>
      <w:caps/>
      <w:color w:val="61721F" w:themeColor="accent1" w:themeShade="BF"/>
      <w:spacing w:val="10"/>
    </w:rPr>
  </w:style>
  <w:style w:type="character" w:customStyle="1" w:styleId="Heading5Char">
    <w:name w:val="Heading 5 Char"/>
    <w:basedOn w:val="DefaultParagraphFont"/>
    <w:link w:val="Heading5"/>
    <w:uiPriority w:val="9"/>
    <w:semiHidden/>
    <w:rsid w:val="00311244"/>
    <w:rPr>
      <w:caps/>
      <w:color w:val="61721F" w:themeColor="accent1" w:themeShade="BF"/>
      <w:spacing w:val="10"/>
    </w:rPr>
  </w:style>
  <w:style w:type="character" w:customStyle="1" w:styleId="Heading6Char">
    <w:name w:val="Heading 6 Char"/>
    <w:basedOn w:val="DefaultParagraphFont"/>
    <w:link w:val="Heading6"/>
    <w:uiPriority w:val="9"/>
    <w:semiHidden/>
    <w:rsid w:val="00311244"/>
    <w:rPr>
      <w:caps/>
      <w:color w:val="61721F" w:themeColor="accent1" w:themeShade="BF"/>
      <w:spacing w:val="10"/>
    </w:rPr>
  </w:style>
  <w:style w:type="character" w:customStyle="1" w:styleId="Heading7Char">
    <w:name w:val="Heading 7 Char"/>
    <w:basedOn w:val="DefaultParagraphFont"/>
    <w:link w:val="Heading7"/>
    <w:uiPriority w:val="9"/>
    <w:semiHidden/>
    <w:rsid w:val="00311244"/>
    <w:rPr>
      <w:caps/>
      <w:color w:val="61721F" w:themeColor="accent1" w:themeShade="BF"/>
      <w:spacing w:val="10"/>
    </w:rPr>
  </w:style>
  <w:style w:type="character" w:customStyle="1" w:styleId="Heading8Char">
    <w:name w:val="Heading 8 Char"/>
    <w:basedOn w:val="DefaultParagraphFont"/>
    <w:link w:val="Heading8"/>
    <w:uiPriority w:val="9"/>
    <w:semiHidden/>
    <w:rsid w:val="00311244"/>
    <w:rPr>
      <w:caps/>
      <w:spacing w:val="10"/>
      <w:sz w:val="18"/>
      <w:szCs w:val="18"/>
    </w:rPr>
  </w:style>
  <w:style w:type="character" w:customStyle="1" w:styleId="Heading9Char">
    <w:name w:val="Heading 9 Char"/>
    <w:basedOn w:val="DefaultParagraphFont"/>
    <w:link w:val="Heading9"/>
    <w:uiPriority w:val="9"/>
    <w:semiHidden/>
    <w:rsid w:val="00311244"/>
    <w:rPr>
      <w:i/>
      <w:iCs/>
      <w:caps/>
      <w:spacing w:val="10"/>
      <w:sz w:val="18"/>
      <w:szCs w:val="18"/>
    </w:rPr>
  </w:style>
  <w:style w:type="paragraph" w:styleId="Caption">
    <w:name w:val="caption"/>
    <w:basedOn w:val="Normal"/>
    <w:next w:val="Normal"/>
    <w:uiPriority w:val="35"/>
    <w:semiHidden/>
    <w:unhideWhenUsed/>
    <w:qFormat/>
    <w:rsid w:val="00311244"/>
    <w:rPr>
      <w:b/>
      <w:bCs/>
      <w:color w:val="61721F" w:themeColor="accent1" w:themeShade="BF"/>
      <w:sz w:val="16"/>
      <w:szCs w:val="16"/>
    </w:rPr>
  </w:style>
  <w:style w:type="paragraph" w:styleId="Title">
    <w:name w:val="Title"/>
    <w:basedOn w:val="Normal"/>
    <w:next w:val="Normal"/>
    <w:link w:val="TitleChar"/>
    <w:uiPriority w:val="10"/>
    <w:qFormat/>
    <w:rsid w:val="00311244"/>
    <w:pPr>
      <w:spacing w:before="0" w:after="0"/>
    </w:pPr>
    <w:rPr>
      <w:rFonts w:asciiTheme="majorHAnsi" w:eastAsiaTheme="majorEastAsia" w:hAnsiTheme="majorHAnsi" w:cstheme="majorBidi"/>
      <w:caps/>
      <w:color w:val="83992A" w:themeColor="accent1"/>
      <w:spacing w:val="10"/>
      <w:sz w:val="52"/>
      <w:szCs w:val="52"/>
    </w:rPr>
  </w:style>
  <w:style w:type="character" w:customStyle="1" w:styleId="TitleChar">
    <w:name w:val="Title Char"/>
    <w:basedOn w:val="DefaultParagraphFont"/>
    <w:link w:val="Title"/>
    <w:uiPriority w:val="10"/>
    <w:rsid w:val="00311244"/>
    <w:rPr>
      <w:rFonts w:asciiTheme="majorHAnsi" w:eastAsiaTheme="majorEastAsia" w:hAnsiTheme="majorHAnsi" w:cstheme="majorBidi"/>
      <w:caps/>
      <w:color w:val="83992A" w:themeColor="accent1"/>
      <w:spacing w:val="10"/>
      <w:sz w:val="52"/>
      <w:szCs w:val="52"/>
    </w:rPr>
  </w:style>
  <w:style w:type="paragraph" w:styleId="Subtitle">
    <w:name w:val="Subtitle"/>
    <w:basedOn w:val="Normal"/>
    <w:next w:val="Normal"/>
    <w:link w:val="SubtitleChar"/>
    <w:uiPriority w:val="11"/>
    <w:qFormat/>
    <w:rsid w:val="003112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11244"/>
    <w:rPr>
      <w:caps/>
      <w:color w:val="595959" w:themeColor="text1" w:themeTint="A6"/>
      <w:spacing w:val="10"/>
      <w:sz w:val="21"/>
      <w:szCs w:val="21"/>
    </w:rPr>
  </w:style>
  <w:style w:type="character" w:styleId="Strong">
    <w:name w:val="Strong"/>
    <w:uiPriority w:val="22"/>
    <w:qFormat/>
    <w:rsid w:val="00311244"/>
    <w:rPr>
      <w:b/>
      <w:bCs/>
    </w:rPr>
  </w:style>
  <w:style w:type="character" w:styleId="Emphasis">
    <w:name w:val="Emphasis"/>
    <w:uiPriority w:val="20"/>
    <w:qFormat/>
    <w:rsid w:val="00311244"/>
    <w:rPr>
      <w:caps/>
      <w:color w:val="414C15" w:themeColor="accent1" w:themeShade="7F"/>
      <w:spacing w:val="5"/>
    </w:rPr>
  </w:style>
  <w:style w:type="paragraph" w:styleId="NoSpacing">
    <w:name w:val="No Spacing"/>
    <w:uiPriority w:val="1"/>
    <w:qFormat/>
    <w:rsid w:val="00311244"/>
    <w:pPr>
      <w:spacing w:after="0" w:line="240" w:lineRule="auto"/>
    </w:pPr>
  </w:style>
  <w:style w:type="paragraph" w:styleId="Quote">
    <w:name w:val="Quote"/>
    <w:basedOn w:val="Normal"/>
    <w:next w:val="Normal"/>
    <w:link w:val="QuoteChar"/>
    <w:uiPriority w:val="29"/>
    <w:qFormat/>
    <w:rsid w:val="00311244"/>
    <w:rPr>
      <w:i/>
      <w:iCs/>
      <w:sz w:val="24"/>
      <w:szCs w:val="24"/>
    </w:rPr>
  </w:style>
  <w:style w:type="character" w:customStyle="1" w:styleId="QuoteChar">
    <w:name w:val="Quote Char"/>
    <w:basedOn w:val="DefaultParagraphFont"/>
    <w:link w:val="Quote"/>
    <w:uiPriority w:val="29"/>
    <w:rsid w:val="00311244"/>
    <w:rPr>
      <w:i/>
      <w:iCs/>
      <w:sz w:val="24"/>
      <w:szCs w:val="24"/>
    </w:rPr>
  </w:style>
  <w:style w:type="character" w:styleId="SubtleEmphasis">
    <w:name w:val="Subtle Emphasis"/>
    <w:uiPriority w:val="19"/>
    <w:qFormat/>
    <w:rsid w:val="00311244"/>
    <w:rPr>
      <w:i/>
      <w:iCs/>
      <w:color w:val="414C15" w:themeColor="accent1" w:themeShade="7F"/>
    </w:rPr>
  </w:style>
  <w:style w:type="character" w:styleId="IntenseEmphasis">
    <w:name w:val="Intense Emphasis"/>
    <w:uiPriority w:val="21"/>
    <w:qFormat/>
    <w:rsid w:val="00311244"/>
    <w:rPr>
      <w:b/>
      <w:bCs/>
      <w:caps/>
      <w:color w:val="414C15" w:themeColor="accent1" w:themeShade="7F"/>
      <w:spacing w:val="10"/>
    </w:rPr>
  </w:style>
  <w:style w:type="character" w:styleId="SubtleReference">
    <w:name w:val="Subtle Reference"/>
    <w:uiPriority w:val="31"/>
    <w:qFormat/>
    <w:rsid w:val="00311244"/>
    <w:rPr>
      <w:b/>
      <w:bCs/>
      <w:color w:val="83992A" w:themeColor="accent1"/>
    </w:rPr>
  </w:style>
  <w:style w:type="character" w:styleId="IntenseReference">
    <w:name w:val="Intense Reference"/>
    <w:uiPriority w:val="32"/>
    <w:qFormat/>
    <w:rsid w:val="00311244"/>
    <w:rPr>
      <w:b/>
      <w:bCs/>
      <w:i/>
      <w:iCs/>
      <w:caps/>
      <w:color w:val="83992A" w:themeColor="accent1"/>
    </w:rPr>
  </w:style>
  <w:style w:type="character" w:styleId="BookTitle">
    <w:name w:val="Book Title"/>
    <w:uiPriority w:val="33"/>
    <w:qFormat/>
    <w:rsid w:val="00311244"/>
    <w:rPr>
      <w:b/>
      <w:bCs/>
      <w:i/>
      <w:iCs/>
      <w:spacing w:val="0"/>
    </w:rPr>
  </w:style>
  <w:style w:type="paragraph" w:styleId="TOCHeading">
    <w:name w:val="TOC Heading"/>
    <w:basedOn w:val="Heading1"/>
    <w:next w:val="Normal"/>
    <w:uiPriority w:val="39"/>
    <w:unhideWhenUsed/>
    <w:qFormat/>
    <w:rsid w:val="00311244"/>
    <w:pPr>
      <w:outlineLvl w:val="9"/>
    </w:pPr>
  </w:style>
  <w:style w:type="paragraph" w:styleId="Header">
    <w:name w:val="header"/>
    <w:basedOn w:val="Normal"/>
    <w:link w:val="HeaderChar"/>
    <w:uiPriority w:val="99"/>
    <w:unhideWhenUsed/>
    <w:rsid w:val="002322D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322DF"/>
  </w:style>
  <w:style w:type="paragraph" w:styleId="Footer">
    <w:name w:val="footer"/>
    <w:basedOn w:val="Normal"/>
    <w:link w:val="FooterChar"/>
    <w:uiPriority w:val="99"/>
    <w:unhideWhenUsed/>
    <w:rsid w:val="002322D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322DF"/>
  </w:style>
  <w:style w:type="paragraph" w:styleId="BodyText">
    <w:name w:val="Body Text"/>
    <w:basedOn w:val="Normal"/>
    <w:link w:val="BodyTextChar"/>
    <w:uiPriority w:val="99"/>
    <w:unhideWhenUsed/>
    <w:rsid w:val="00FA10A0"/>
    <w:pPr>
      <w:spacing w:before="0" w:after="120" w:line="259" w:lineRule="auto"/>
    </w:pPr>
    <w:rPr>
      <w:rFonts w:eastAsiaTheme="minorHAnsi"/>
      <w:sz w:val="22"/>
      <w:szCs w:val="22"/>
    </w:rPr>
  </w:style>
  <w:style w:type="character" w:customStyle="1" w:styleId="BodyTextChar">
    <w:name w:val="Body Text Char"/>
    <w:basedOn w:val="DefaultParagraphFont"/>
    <w:link w:val="BodyText"/>
    <w:uiPriority w:val="99"/>
    <w:rsid w:val="00FA10A0"/>
    <w:rPr>
      <w:rFonts w:eastAsiaTheme="minorHAnsi"/>
      <w:sz w:val="22"/>
      <w:szCs w:val="22"/>
      <w:lang w:val="en-US"/>
    </w:rPr>
  </w:style>
  <w:style w:type="paragraph" w:styleId="BodyTextIndent2">
    <w:name w:val="Body Text Indent 2"/>
    <w:basedOn w:val="Normal"/>
    <w:link w:val="BodyTextIndent2Char"/>
    <w:uiPriority w:val="99"/>
    <w:unhideWhenUsed/>
    <w:rsid w:val="00561AA8"/>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uiPriority w:val="99"/>
    <w:rsid w:val="00561AA8"/>
    <w:rPr>
      <w:rFonts w:eastAsiaTheme="minorHAnsi"/>
      <w:sz w:val="22"/>
      <w:szCs w:val="22"/>
      <w:lang w:val="en-US"/>
    </w:rPr>
  </w:style>
  <w:style w:type="table" w:styleId="TableGrid">
    <w:name w:val="Table Grid"/>
    <w:basedOn w:val="TableNormal"/>
    <w:uiPriority w:val="39"/>
    <w:rsid w:val="00633A3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322BD"/>
    <w:pPr>
      <w:spacing w:after="0" w:line="240" w:lineRule="auto"/>
    </w:pPr>
    <w:tblPr>
      <w:tblStyleRowBandSize w:val="1"/>
      <w:tblStyleColBandSize w:val="1"/>
      <w:tblBorders>
        <w:top w:val="single" w:sz="4" w:space="0" w:color="C0D66A" w:themeColor="accent1" w:themeTint="99"/>
        <w:left w:val="single" w:sz="4" w:space="0" w:color="C0D66A" w:themeColor="accent1" w:themeTint="99"/>
        <w:bottom w:val="single" w:sz="4" w:space="0" w:color="C0D66A" w:themeColor="accent1" w:themeTint="99"/>
        <w:right w:val="single" w:sz="4" w:space="0" w:color="C0D66A" w:themeColor="accent1" w:themeTint="99"/>
        <w:insideH w:val="single" w:sz="4" w:space="0" w:color="C0D66A" w:themeColor="accent1" w:themeTint="99"/>
        <w:insideV w:val="single" w:sz="4" w:space="0" w:color="C0D66A" w:themeColor="accent1" w:themeTint="99"/>
      </w:tblBorders>
    </w:tblPr>
    <w:tblStylePr w:type="firstRow">
      <w:rPr>
        <w:b/>
        <w:bCs/>
        <w:color w:val="FFFFFF" w:themeColor="background1"/>
      </w:rPr>
      <w:tblPr/>
      <w:tcPr>
        <w:tcBorders>
          <w:top w:val="single" w:sz="4" w:space="0" w:color="83992A" w:themeColor="accent1"/>
          <w:left w:val="single" w:sz="4" w:space="0" w:color="83992A" w:themeColor="accent1"/>
          <w:bottom w:val="single" w:sz="4" w:space="0" w:color="83992A" w:themeColor="accent1"/>
          <w:right w:val="single" w:sz="4" w:space="0" w:color="83992A" w:themeColor="accent1"/>
          <w:insideH w:val="nil"/>
          <w:insideV w:val="nil"/>
        </w:tcBorders>
        <w:shd w:val="clear" w:color="auto" w:fill="83992A" w:themeFill="accent1"/>
      </w:tcPr>
    </w:tblStylePr>
    <w:tblStylePr w:type="lastRow">
      <w:rPr>
        <w:b/>
        <w:bCs/>
      </w:rPr>
      <w:tblPr/>
      <w:tcPr>
        <w:tcBorders>
          <w:top w:val="double" w:sz="4" w:space="0" w:color="83992A" w:themeColor="accent1"/>
        </w:tcBorders>
      </w:tcPr>
    </w:tblStylePr>
    <w:tblStylePr w:type="firstCol">
      <w:rPr>
        <w:b/>
        <w:bCs/>
      </w:rPr>
    </w:tblStylePr>
    <w:tblStylePr w:type="lastCol">
      <w:rPr>
        <w:b/>
        <w:bCs/>
      </w:rPr>
    </w:tblStylePr>
    <w:tblStylePr w:type="band1Vert">
      <w:tblPr/>
      <w:tcPr>
        <w:shd w:val="clear" w:color="auto" w:fill="EAF1CD" w:themeFill="accent1" w:themeFillTint="33"/>
      </w:tcPr>
    </w:tblStylePr>
    <w:tblStylePr w:type="band1Horz">
      <w:tblPr/>
      <w:tcPr>
        <w:shd w:val="clear" w:color="auto" w:fill="EAF1CD" w:themeFill="accent1" w:themeFillTint="33"/>
      </w:tcPr>
    </w:tblStylePr>
  </w:style>
  <w:style w:type="paragraph" w:styleId="TOC1">
    <w:name w:val="toc 1"/>
    <w:basedOn w:val="Normal"/>
    <w:next w:val="Normal"/>
    <w:autoRedefine/>
    <w:uiPriority w:val="39"/>
    <w:unhideWhenUsed/>
    <w:rsid w:val="00495903"/>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495903"/>
    <w:pPr>
      <w:spacing w:before="240" w:after="0"/>
    </w:pPr>
    <w:rPr>
      <w:b/>
      <w:bCs/>
    </w:rPr>
  </w:style>
  <w:style w:type="paragraph" w:styleId="TOC3">
    <w:name w:val="toc 3"/>
    <w:basedOn w:val="Normal"/>
    <w:next w:val="Normal"/>
    <w:autoRedefine/>
    <w:uiPriority w:val="39"/>
    <w:unhideWhenUsed/>
    <w:rsid w:val="00495903"/>
    <w:pPr>
      <w:spacing w:before="0" w:after="0"/>
      <w:ind w:left="200"/>
    </w:pPr>
  </w:style>
  <w:style w:type="character" w:styleId="Hyperlink">
    <w:name w:val="Hyperlink"/>
    <w:basedOn w:val="DefaultParagraphFont"/>
    <w:uiPriority w:val="99"/>
    <w:unhideWhenUsed/>
    <w:rsid w:val="00495903"/>
    <w:rPr>
      <w:color w:val="A8BF4D" w:themeColor="hyperlink"/>
      <w:u w:val="single"/>
    </w:rPr>
  </w:style>
  <w:style w:type="paragraph" w:styleId="TOC4">
    <w:name w:val="toc 4"/>
    <w:basedOn w:val="Normal"/>
    <w:next w:val="Normal"/>
    <w:autoRedefine/>
    <w:uiPriority w:val="39"/>
    <w:unhideWhenUsed/>
    <w:rsid w:val="00495903"/>
    <w:pPr>
      <w:spacing w:before="0" w:after="0"/>
      <w:ind w:left="400"/>
    </w:pPr>
  </w:style>
  <w:style w:type="paragraph" w:styleId="TOC5">
    <w:name w:val="toc 5"/>
    <w:basedOn w:val="Normal"/>
    <w:next w:val="Normal"/>
    <w:autoRedefine/>
    <w:uiPriority w:val="39"/>
    <w:unhideWhenUsed/>
    <w:rsid w:val="00495903"/>
    <w:pPr>
      <w:spacing w:before="0" w:after="0"/>
      <w:ind w:left="600"/>
    </w:pPr>
  </w:style>
  <w:style w:type="paragraph" w:styleId="TOC6">
    <w:name w:val="toc 6"/>
    <w:basedOn w:val="Normal"/>
    <w:next w:val="Normal"/>
    <w:autoRedefine/>
    <w:uiPriority w:val="39"/>
    <w:unhideWhenUsed/>
    <w:rsid w:val="00495903"/>
    <w:pPr>
      <w:spacing w:before="0" w:after="0"/>
      <w:ind w:left="800"/>
    </w:pPr>
  </w:style>
  <w:style w:type="paragraph" w:styleId="TOC7">
    <w:name w:val="toc 7"/>
    <w:basedOn w:val="Normal"/>
    <w:next w:val="Normal"/>
    <w:autoRedefine/>
    <w:uiPriority w:val="39"/>
    <w:unhideWhenUsed/>
    <w:rsid w:val="00495903"/>
    <w:pPr>
      <w:spacing w:before="0" w:after="0"/>
      <w:ind w:left="1000"/>
    </w:pPr>
  </w:style>
  <w:style w:type="paragraph" w:styleId="TOC8">
    <w:name w:val="toc 8"/>
    <w:basedOn w:val="Normal"/>
    <w:next w:val="Normal"/>
    <w:autoRedefine/>
    <w:uiPriority w:val="39"/>
    <w:unhideWhenUsed/>
    <w:rsid w:val="00495903"/>
    <w:pPr>
      <w:spacing w:before="0" w:after="0"/>
      <w:ind w:left="1200"/>
    </w:pPr>
  </w:style>
  <w:style w:type="paragraph" w:styleId="TOC9">
    <w:name w:val="toc 9"/>
    <w:basedOn w:val="Normal"/>
    <w:next w:val="Normal"/>
    <w:autoRedefine/>
    <w:uiPriority w:val="39"/>
    <w:unhideWhenUsed/>
    <w:rsid w:val="00495903"/>
    <w:pPr>
      <w:spacing w:before="0" w:after="0"/>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Organic">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BC29D47BAB044B82155D6D439818C" ma:contentTypeVersion="13" ma:contentTypeDescription="Create a new document." ma:contentTypeScope="" ma:versionID="f637a37dd4ae2a2e0e6c3b1c0842dae8">
  <xsd:schema xmlns:xsd="http://www.w3.org/2001/XMLSchema" xmlns:xs="http://www.w3.org/2001/XMLSchema" xmlns:p="http://schemas.microsoft.com/office/2006/metadata/properties" xmlns:ns2="70a2bd70-eac5-4962-b058-04a5589537b5" xmlns:ns3="fed65027-68d2-4dfc-a410-acfeb3682b17" targetNamespace="http://schemas.microsoft.com/office/2006/metadata/properties" ma:root="true" ma:fieldsID="ae74e3334b010cf359d5a7957e531d74" ns2:_="" ns3:_="">
    <xsd:import namespace="70a2bd70-eac5-4962-b058-04a5589537b5"/>
    <xsd:import namespace="fed65027-68d2-4dfc-a410-acfeb3682b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2bd70-eac5-4962-b058-04a558953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d65027-68d2-4dfc-a410-acfeb3682b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6042-B1C9-4BA3-836E-F7BAE2AB8B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81F982-F425-4EF8-8FCB-0FA2F47B96E7}">
  <ds:schemaRefs>
    <ds:schemaRef ds:uri="http://schemas.microsoft.com/sharepoint/v3/contenttype/forms"/>
  </ds:schemaRefs>
</ds:datastoreItem>
</file>

<file path=customXml/itemProps3.xml><?xml version="1.0" encoding="utf-8"?>
<ds:datastoreItem xmlns:ds="http://schemas.openxmlformats.org/officeDocument/2006/customXml" ds:itemID="{26FE7F3F-2766-40A8-B342-3B9C1CBDA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a2bd70-eac5-4962-b058-04a5589537b5"/>
    <ds:schemaRef ds:uri="fed65027-68d2-4dfc-a410-acfeb3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A26821-ED69-49D8-B459-1A567597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PDS for senior living</vt:lpstr>
    </vt:vector>
  </TitlesOfParts>
  <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for senior living</dc:title>
  <dc:subject/>
  <dc:creator>Sachin Mohabeer</dc:creator>
  <cp:keywords/>
  <dc:description/>
  <cp:lastModifiedBy>Teeroomalay Ramasawmy</cp:lastModifiedBy>
  <cp:revision>4</cp:revision>
  <dcterms:created xsi:type="dcterms:W3CDTF">2019-07-15T07:42:00Z</dcterms:created>
  <dcterms:modified xsi:type="dcterms:W3CDTF">2021-05-28T17:59:00Z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0x010100131BC29D47BAB044B82155D6D439818C</vt:lpwstr>
  </property>
  <property fmtid="{D5CDD505-2E9C-101B-9397-08002B2CF9AE}" pid="3" name="Order">
    <vt:r8>3597000</vt:r8>
  </property>
</Properties>
</file>